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66BA1063" w:rsidR="00B736C9" w:rsidRPr="00F601DB" w:rsidRDefault="00C67745" w:rsidP="00294347">
      <w:pPr>
        <w:pStyle w:val="CRCoverPage"/>
        <w:tabs>
          <w:tab w:val="left" w:pos="3402"/>
          <w:tab w:val="right" w:pos="9639"/>
        </w:tabs>
        <w:spacing w:after="0"/>
        <w:rPr>
          <w:rFonts w:eastAsia="宋体"/>
          <w:b/>
          <w:noProof/>
          <w:sz w:val="24"/>
          <w:lang w:eastAsia="zh-CN"/>
        </w:rPr>
      </w:pPr>
      <w:bookmarkStart w:id="0" w:name="_GoBack"/>
      <w:bookmarkEnd w:id="0"/>
      <w:r w:rsidRPr="00C67745">
        <w:rPr>
          <w:b/>
          <w:noProof/>
          <w:sz w:val="24"/>
        </w:rPr>
        <w:t>3GPP TSG RAN Meeting #8</w:t>
      </w:r>
      <w:r w:rsidR="005E36FF">
        <w:rPr>
          <w:b/>
          <w:noProof/>
          <w:sz w:val="24"/>
        </w:rPr>
        <w:t>6</w:t>
      </w:r>
      <w:r w:rsidR="00B736C9" w:rsidRPr="00285EB2">
        <w:rPr>
          <w:b/>
          <w:i/>
          <w:noProof/>
          <w:sz w:val="28"/>
        </w:rPr>
        <w:tab/>
      </w:r>
      <w:r>
        <w:rPr>
          <w:b/>
          <w:i/>
          <w:noProof/>
          <w:sz w:val="28"/>
        </w:rPr>
        <w:tab/>
      </w:r>
      <w:r w:rsidR="00C97FC3" w:rsidRPr="00C97FC3">
        <w:rPr>
          <w:b/>
          <w:noProof/>
          <w:sz w:val="24"/>
        </w:rPr>
        <w:t>RP-192797</w:t>
      </w:r>
    </w:p>
    <w:p w14:paraId="23C9EF4C" w14:textId="51EDA2F5" w:rsidR="00294347" w:rsidRPr="00294347" w:rsidRDefault="005E36FF" w:rsidP="00C67745">
      <w:pPr>
        <w:pStyle w:val="Header"/>
        <w:rPr>
          <w:b w:val="0"/>
          <w:sz w:val="24"/>
        </w:rPr>
      </w:pPr>
      <w:r>
        <w:rPr>
          <w:rFonts w:eastAsia="MS Mincho"/>
          <w:bCs w:val="0"/>
          <w:sz w:val="24"/>
          <w:szCs w:val="20"/>
          <w:lang w:val="en-GB"/>
        </w:rPr>
        <w:t>S</w:t>
      </w:r>
      <w:r w:rsidR="00B43881">
        <w:rPr>
          <w:rFonts w:eastAsia="MS Mincho"/>
          <w:bCs w:val="0"/>
          <w:sz w:val="24"/>
          <w:szCs w:val="20"/>
          <w:lang w:val="en-GB"/>
        </w:rPr>
        <w:t>it</w:t>
      </w:r>
      <w:r>
        <w:rPr>
          <w:rFonts w:eastAsia="MS Mincho"/>
          <w:bCs w:val="0"/>
          <w:sz w:val="24"/>
          <w:szCs w:val="20"/>
          <w:lang w:val="en-GB"/>
        </w:rPr>
        <w:t>ges</w:t>
      </w:r>
      <w:r w:rsidR="00C67745" w:rsidRPr="00C67745">
        <w:rPr>
          <w:rFonts w:eastAsia="MS Mincho"/>
          <w:bCs w:val="0"/>
          <w:sz w:val="24"/>
          <w:szCs w:val="20"/>
          <w:lang w:val="en-GB"/>
        </w:rPr>
        <w:t xml:space="preserve">, </w:t>
      </w:r>
      <w:r>
        <w:rPr>
          <w:rFonts w:eastAsia="MS Mincho"/>
          <w:bCs w:val="0"/>
          <w:sz w:val="24"/>
          <w:szCs w:val="20"/>
          <w:lang w:val="en-GB"/>
        </w:rPr>
        <w:t>Spain, 9</w:t>
      </w:r>
      <w:r w:rsidRPr="005E36FF">
        <w:rPr>
          <w:rFonts w:eastAsia="MS Mincho"/>
          <w:bCs w:val="0"/>
          <w:sz w:val="24"/>
          <w:szCs w:val="20"/>
          <w:vertAlign w:val="superscript"/>
          <w:lang w:val="en-GB"/>
        </w:rPr>
        <w:t>th</w:t>
      </w:r>
      <w:r>
        <w:rPr>
          <w:rFonts w:eastAsia="MS Mincho"/>
          <w:bCs w:val="0"/>
          <w:sz w:val="24"/>
          <w:szCs w:val="20"/>
          <w:lang w:val="en-GB"/>
        </w:rPr>
        <w:t xml:space="preserve"> – 12</w:t>
      </w:r>
      <w:r w:rsidRPr="005E36FF">
        <w:rPr>
          <w:rFonts w:eastAsia="MS Mincho"/>
          <w:bCs w:val="0"/>
          <w:sz w:val="24"/>
          <w:szCs w:val="20"/>
          <w:vertAlign w:val="superscript"/>
          <w:lang w:val="en-GB"/>
        </w:rPr>
        <w:t>th</w:t>
      </w:r>
      <w:r>
        <w:rPr>
          <w:rFonts w:eastAsia="MS Mincho"/>
          <w:bCs w:val="0"/>
          <w:sz w:val="24"/>
          <w:szCs w:val="20"/>
          <w:lang w:val="en-GB"/>
        </w:rPr>
        <w:t xml:space="preserve"> December</w:t>
      </w:r>
      <w:r w:rsidR="00C67745" w:rsidRPr="00C67745">
        <w:rPr>
          <w:rFonts w:eastAsia="MS Mincho"/>
          <w:bCs w:val="0"/>
          <w:sz w:val="24"/>
          <w:szCs w:val="20"/>
          <w:lang w:val="en-GB"/>
        </w:rPr>
        <w:t>, 2019</w:t>
      </w:r>
      <w:r w:rsidR="00FA5F6E">
        <w:rPr>
          <w:sz w:val="24"/>
        </w:rPr>
        <w:tab/>
      </w:r>
    </w:p>
    <w:p w14:paraId="099878DF" w14:textId="3EA085DA"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BB0AC3">
        <w:rPr>
          <w:rFonts w:eastAsia="MS Mincho"/>
          <w:b/>
          <w:noProof/>
          <w:sz w:val="24"/>
          <w:lang w:val="en-US" w:eastAsia="en-US"/>
        </w:rPr>
        <w:t>9.1.1</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132B13">
        <w:rPr>
          <w:rFonts w:hint="eastAsia"/>
          <w:b/>
          <w:noProof/>
          <w:sz w:val="24"/>
          <w:lang w:val="en-US"/>
        </w:rPr>
        <w:t>Huawei</w:t>
      </w:r>
      <w:r w:rsidR="00D25DE6" w:rsidRPr="00132B13">
        <w:rPr>
          <w:rFonts w:hint="eastAsia"/>
          <w:b/>
          <w:noProof/>
          <w:sz w:val="24"/>
          <w:lang w:val="en-US"/>
        </w:rPr>
        <w:t>, HiSilicon</w:t>
      </w:r>
    </w:p>
    <w:p w14:paraId="7343FADB" w14:textId="01C7BD07"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BB0AC3" w:rsidRPr="00BB0AC3">
        <w:rPr>
          <w:rFonts w:eastAsia="MS Mincho"/>
          <w:b/>
          <w:noProof/>
          <w:sz w:val="24"/>
          <w:lang w:val="en-US" w:eastAsia="en-US"/>
        </w:rPr>
        <w:t>NR CA enhancements</w:t>
      </w:r>
      <w:r w:rsidR="00642C4F">
        <w:rPr>
          <w:rFonts w:eastAsia="MS Mincho"/>
          <w:b/>
          <w:noProof/>
          <w:sz w:val="24"/>
          <w:lang w:val="en-US" w:eastAsia="en-US"/>
        </w:rPr>
        <w:t xml:space="preserve"> and DSS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Pr="00840070" w:rsidRDefault="00144AA2" w:rsidP="00144AA2">
      <w:pPr>
        <w:pStyle w:val="Heading1"/>
        <w:textAlignment w:val="auto"/>
        <w:rPr>
          <w:lang w:val="en-US"/>
        </w:rPr>
      </w:pPr>
      <w:r w:rsidRPr="00840070">
        <w:rPr>
          <w:lang w:val="en-US"/>
        </w:rPr>
        <w:t>Introduction</w:t>
      </w:r>
    </w:p>
    <w:p w14:paraId="02485390" w14:textId="2966A3DF" w:rsidR="00137520" w:rsidRDefault="003B2F49" w:rsidP="0056783E">
      <w:pPr>
        <w:spacing w:after="0"/>
        <w:rPr>
          <w:lang w:val="en-US"/>
        </w:rPr>
      </w:pPr>
      <w:r>
        <w:rPr>
          <w:lang w:val="en-US"/>
        </w:rPr>
        <w:t xml:space="preserve">Scheduling capacity enhancement </w:t>
      </w:r>
      <w:r>
        <w:rPr>
          <w:rFonts w:cs="Arial"/>
        </w:rPr>
        <w:t xml:space="preserve">in the context of CA and DSS </w:t>
      </w:r>
      <w:r>
        <w:rPr>
          <w:lang w:val="en-US"/>
        </w:rPr>
        <w:t>was identified under email discussion on NR dynamic spectrum s</w:t>
      </w:r>
      <w:r w:rsidR="00C9583A">
        <w:rPr>
          <w:lang w:val="en-US"/>
        </w:rPr>
        <w:t>haring</w:t>
      </w:r>
      <w:r>
        <w:rPr>
          <w:lang w:val="en-US"/>
        </w:rPr>
        <w:t>.</w:t>
      </w:r>
      <w:r w:rsidRPr="003B2F49">
        <w:rPr>
          <w:lang w:val="en-US"/>
        </w:rPr>
        <w:t xml:space="preserve"> </w:t>
      </w:r>
      <w:r w:rsidR="00210A18">
        <w:rPr>
          <w:lang w:val="en-US"/>
        </w:rPr>
        <w:t xml:space="preserve">In this paper, we discuss </w:t>
      </w:r>
      <w:r w:rsidR="00C9583A">
        <w:rPr>
          <w:lang w:val="en-US"/>
        </w:rPr>
        <w:t>the potential</w:t>
      </w:r>
      <w:r>
        <w:rPr>
          <w:lang w:val="en-US"/>
        </w:rPr>
        <w:t xml:space="preserve"> </w:t>
      </w:r>
      <w:r w:rsidR="00FC4763">
        <w:rPr>
          <w:lang w:val="en-US"/>
        </w:rPr>
        <w:t>enhancement</w:t>
      </w:r>
      <w:r w:rsidR="009E74EA">
        <w:rPr>
          <w:lang w:val="en-US"/>
        </w:rPr>
        <w:t>.</w:t>
      </w:r>
    </w:p>
    <w:p w14:paraId="3DAC20D5" w14:textId="77777777" w:rsidR="00913D67" w:rsidRDefault="004771E1" w:rsidP="007D5696">
      <w:pPr>
        <w:pStyle w:val="Heading1"/>
        <w:rPr>
          <w:lang w:val="en-US"/>
        </w:rPr>
      </w:pPr>
      <w:r>
        <w:rPr>
          <w:rFonts w:hint="eastAsia"/>
          <w:lang w:val="en-US"/>
        </w:rPr>
        <w:t>Discussion</w:t>
      </w:r>
    </w:p>
    <w:p w14:paraId="3C54E24D" w14:textId="21F5C782" w:rsidR="003B2F49" w:rsidRPr="00545354" w:rsidRDefault="00CF1A03" w:rsidP="009776B1">
      <w:pPr>
        <w:rPr>
          <w:lang w:val="en-US" w:eastAsia="en-US"/>
        </w:rPr>
      </w:pPr>
      <w:r>
        <w:rPr>
          <w:rFonts w:cs="Arial"/>
        </w:rPr>
        <w:t xml:space="preserve">In the context of NR CA, where a DSS cell could be either </w:t>
      </w:r>
      <w:proofErr w:type="spellStart"/>
      <w:r>
        <w:rPr>
          <w:rFonts w:cs="Arial"/>
        </w:rPr>
        <w:t>PCell</w:t>
      </w:r>
      <w:proofErr w:type="spellEnd"/>
      <w:r>
        <w:rPr>
          <w:rFonts w:cs="Arial"/>
        </w:rPr>
        <w:t xml:space="preserve"> or </w:t>
      </w:r>
      <w:proofErr w:type="spellStart"/>
      <w:r>
        <w:rPr>
          <w:rFonts w:cs="Arial"/>
        </w:rPr>
        <w:t>SCell</w:t>
      </w:r>
      <w:proofErr w:type="spellEnd"/>
      <w:r>
        <w:rPr>
          <w:rFonts w:cs="Arial"/>
        </w:rPr>
        <w:t>, the problem to solve is to have sufficient scheduling capacity for scheduling NR UEs on the DS</w:t>
      </w:r>
      <w:r w:rsidR="00840A83">
        <w:rPr>
          <w:rFonts w:cs="Arial"/>
        </w:rPr>
        <w:t>S cell with limited</w:t>
      </w:r>
      <w:r w:rsidR="00840A83" w:rsidRPr="00840A83">
        <w:rPr>
          <w:rFonts w:cs="Arial"/>
        </w:rPr>
        <w:t xml:space="preserve"> </w:t>
      </w:r>
      <w:r w:rsidR="00840A83">
        <w:rPr>
          <w:rFonts w:cs="Arial"/>
        </w:rPr>
        <w:t>NR PDCCH capacity</w:t>
      </w:r>
      <w:r>
        <w:rPr>
          <w:rFonts w:cs="Arial"/>
        </w:rPr>
        <w:t xml:space="preserve">, but without creating a control capacity bottleneck on another (non-DSS) carrier. Allowing </w:t>
      </w:r>
      <w:proofErr w:type="spellStart"/>
      <w:r>
        <w:rPr>
          <w:rFonts w:cs="Arial"/>
        </w:rPr>
        <w:t>SCell</w:t>
      </w:r>
      <w:proofErr w:type="spellEnd"/>
      <w:r>
        <w:rPr>
          <w:rFonts w:cs="Arial"/>
        </w:rPr>
        <w:t xml:space="preserve"> to schedule PDSCH on </w:t>
      </w:r>
      <w:proofErr w:type="spellStart"/>
      <w:r>
        <w:rPr>
          <w:rFonts w:cs="Arial"/>
        </w:rPr>
        <w:t>PCell</w:t>
      </w:r>
      <w:proofErr w:type="spellEnd"/>
      <w:r w:rsidRPr="003B2F49">
        <w:rPr>
          <w:lang w:val="en-US" w:eastAsia="en-US"/>
        </w:rPr>
        <w:t xml:space="preserve"> </w:t>
      </w:r>
      <w:r>
        <w:rPr>
          <w:rFonts w:cs="Arial"/>
        </w:rPr>
        <w:t>solves part of the problem</w:t>
      </w:r>
      <w:r>
        <w:rPr>
          <w:lang w:val="en-US" w:eastAsia="en-US"/>
        </w:rPr>
        <w:t xml:space="preserve"> through </w:t>
      </w:r>
      <w:r w:rsidR="003B2F49">
        <w:rPr>
          <w:lang w:val="en-US" w:eastAsia="en-US"/>
        </w:rPr>
        <w:t>mov</w:t>
      </w:r>
      <w:r>
        <w:rPr>
          <w:lang w:val="en-US" w:eastAsia="en-US"/>
        </w:rPr>
        <w:t>ing</w:t>
      </w:r>
      <w:r w:rsidR="003B2F49">
        <w:rPr>
          <w:lang w:val="en-US" w:eastAsia="en-US"/>
        </w:rPr>
        <w:t xml:space="preserve"> </w:t>
      </w:r>
      <w:r w:rsidR="004D77DF">
        <w:rPr>
          <w:lang w:val="en-US" w:eastAsia="en-US"/>
        </w:rPr>
        <w:t xml:space="preserve">NR </w:t>
      </w:r>
      <w:r w:rsidR="003B2F49">
        <w:rPr>
          <w:lang w:val="en-US" w:eastAsia="en-US"/>
        </w:rPr>
        <w:t>PDCCH</w:t>
      </w:r>
      <w:r w:rsidR="004D77DF">
        <w:rPr>
          <w:lang w:val="en-US" w:eastAsia="en-US"/>
        </w:rPr>
        <w:t xml:space="preserve"> from </w:t>
      </w:r>
      <w:proofErr w:type="spellStart"/>
      <w:r w:rsidR="004D77DF">
        <w:rPr>
          <w:lang w:val="en-US" w:eastAsia="en-US"/>
        </w:rPr>
        <w:t>Pcell</w:t>
      </w:r>
      <w:proofErr w:type="spellEnd"/>
      <w:r w:rsidR="004D77DF">
        <w:rPr>
          <w:lang w:val="en-US" w:eastAsia="en-US"/>
        </w:rPr>
        <w:t>/</w:t>
      </w:r>
      <w:proofErr w:type="spellStart"/>
      <w:r w:rsidR="004D77DF">
        <w:rPr>
          <w:lang w:val="en-US" w:eastAsia="en-US"/>
        </w:rPr>
        <w:t>Pscell</w:t>
      </w:r>
      <w:proofErr w:type="spellEnd"/>
      <w:r w:rsidR="004D77DF">
        <w:rPr>
          <w:lang w:val="en-US" w:eastAsia="en-US"/>
        </w:rPr>
        <w:t xml:space="preserve"> (DSS cell) out to </w:t>
      </w:r>
      <w:proofErr w:type="spellStart"/>
      <w:r w:rsidR="004D77DF" w:rsidRPr="003B2F49">
        <w:rPr>
          <w:lang w:val="en-US" w:eastAsia="en-US"/>
        </w:rPr>
        <w:t>SCell</w:t>
      </w:r>
      <w:proofErr w:type="spellEnd"/>
      <w:r>
        <w:rPr>
          <w:lang w:val="en-US" w:eastAsia="en-US"/>
        </w:rPr>
        <w:t xml:space="preserve"> </w:t>
      </w:r>
      <w:r>
        <w:rPr>
          <w:rFonts w:cs="Arial"/>
        </w:rPr>
        <w:t>(non-DSS</w:t>
      </w:r>
      <w:r w:rsidR="00C9583A">
        <w:rPr>
          <w:rFonts w:cs="Arial"/>
        </w:rPr>
        <w:t xml:space="preserve"> </w:t>
      </w:r>
      <w:r w:rsidR="00C9583A">
        <w:rPr>
          <w:lang w:val="en-US" w:eastAsia="en-US"/>
        </w:rPr>
        <w:t>cell</w:t>
      </w:r>
      <w:r>
        <w:rPr>
          <w:rFonts w:cs="Arial"/>
        </w:rPr>
        <w:t>)</w:t>
      </w:r>
      <w:r w:rsidR="004D77DF">
        <w:rPr>
          <w:lang w:val="en-US" w:eastAsia="en-US"/>
        </w:rPr>
        <w:t xml:space="preserve">. However, </w:t>
      </w:r>
      <w:r w:rsidR="00545354">
        <w:rPr>
          <w:lang w:val="en-US" w:eastAsia="en-US"/>
        </w:rPr>
        <w:t>t</w:t>
      </w:r>
      <w:r w:rsidR="003B2F49" w:rsidRPr="003B2F49">
        <w:rPr>
          <w:lang w:val="en-US" w:eastAsia="en-US"/>
        </w:rPr>
        <w:t xml:space="preserve">he scheduling capacity of NR devices </w:t>
      </w:r>
      <w:r w:rsidR="004D77DF">
        <w:rPr>
          <w:lang w:val="en-US" w:eastAsia="en-US"/>
        </w:rPr>
        <w:t xml:space="preserve">is still limited since the </w:t>
      </w:r>
      <w:r w:rsidR="00840A83" w:rsidRPr="00840A83">
        <w:rPr>
          <w:lang w:val="en-US" w:eastAsia="en-US"/>
        </w:rPr>
        <w:t xml:space="preserve">finite </w:t>
      </w:r>
      <w:r w:rsidR="004D77DF">
        <w:rPr>
          <w:lang w:val="en-US" w:eastAsia="en-US"/>
        </w:rPr>
        <w:t xml:space="preserve">control resource of </w:t>
      </w:r>
      <w:proofErr w:type="spellStart"/>
      <w:r w:rsidR="004D77DF">
        <w:rPr>
          <w:lang w:val="en-US" w:eastAsia="en-US"/>
        </w:rPr>
        <w:t>Scell</w:t>
      </w:r>
      <w:proofErr w:type="spellEnd"/>
      <w:r w:rsidR="004D77DF">
        <w:rPr>
          <w:lang w:val="en-US" w:eastAsia="en-US"/>
        </w:rPr>
        <w:t xml:space="preserve"> </w:t>
      </w:r>
      <w:r w:rsidR="00CE0D42">
        <w:rPr>
          <w:lang w:val="en-US" w:eastAsia="en-US"/>
        </w:rPr>
        <w:t>must</w:t>
      </w:r>
      <w:r w:rsidR="004D77DF">
        <w:rPr>
          <w:lang w:val="en-US" w:eastAsia="en-US"/>
        </w:rPr>
        <w:t xml:space="preserve"> carry the control information for both </w:t>
      </w:r>
      <w:proofErr w:type="spellStart"/>
      <w:r w:rsidR="004D77DF">
        <w:rPr>
          <w:lang w:val="en-US" w:eastAsia="en-US"/>
        </w:rPr>
        <w:t>Pcell</w:t>
      </w:r>
      <w:proofErr w:type="spellEnd"/>
      <w:r w:rsidR="004D77DF">
        <w:rPr>
          <w:lang w:val="en-US" w:eastAsia="en-US"/>
        </w:rPr>
        <w:t>/</w:t>
      </w:r>
      <w:proofErr w:type="spellStart"/>
      <w:r w:rsidR="004D77DF">
        <w:rPr>
          <w:lang w:val="en-US" w:eastAsia="en-US"/>
        </w:rPr>
        <w:t>PScell</w:t>
      </w:r>
      <w:proofErr w:type="spellEnd"/>
      <w:r w:rsidR="004D77DF">
        <w:rPr>
          <w:lang w:val="en-US" w:eastAsia="en-US"/>
        </w:rPr>
        <w:t xml:space="preserve"> and </w:t>
      </w:r>
      <w:proofErr w:type="spellStart"/>
      <w:r w:rsidR="004D77DF">
        <w:rPr>
          <w:lang w:val="en-US" w:eastAsia="en-US"/>
        </w:rPr>
        <w:t>Scell</w:t>
      </w:r>
      <w:proofErr w:type="spellEnd"/>
      <w:r>
        <w:rPr>
          <w:lang w:val="en-US" w:eastAsia="en-US"/>
        </w:rPr>
        <w:t xml:space="preserve"> where </w:t>
      </w:r>
      <w:r w:rsidRPr="00412269">
        <w:rPr>
          <w:lang w:val="en-US" w:eastAsia="en-US"/>
        </w:rPr>
        <w:t xml:space="preserve">there are many repeated redundant information (CRC, </w:t>
      </w:r>
      <w:r w:rsidR="009E445B">
        <w:rPr>
          <w:lang w:val="en-US" w:eastAsia="en-US"/>
        </w:rPr>
        <w:t xml:space="preserve">TPC, </w:t>
      </w:r>
      <w:r w:rsidRPr="00412269">
        <w:rPr>
          <w:lang w:val="en-US" w:eastAsia="en-US"/>
        </w:rPr>
        <w:t>etc.)</w:t>
      </w:r>
      <w:r>
        <w:rPr>
          <w:lang w:val="en-US" w:eastAsia="en-US"/>
        </w:rPr>
        <w:t xml:space="preserve">. </w:t>
      </w:r>
      <w:r>
        <w:rPr>
          <w:rFonts w:cs="Arial"/>
        </w:rPr>
        <w:t xml:space="preserve">This becomes practical only if it comes with PDCCH overhead reduction, such as enabling </w:t>
      </w:r>
      <w:r w:rsidRPr="00B93A65">
        <w:rPr>
          <w:rFonts w:cs="Arial"/>
        </w:rPr>
        <w:t>scheduling PDSCH over multiple cells with a single PDCCH.</w:t>
      </w:r>
      <w:r w:rsidR="00545354">
        <w:rPr>
          <w:lang w:val="en-US" w:eastAsia="en-US"/>
        </w:rPr>
        <w:t xml:space="preserve"> </w:t>
      </w:r>
      <w:r w:rsidR="000F6F29">
        <w:rPr>
          <w:rFonts w:cs="Arial"/>
        </w:rPr>
        <w:t xml:space="preserve">Take DCI format 1-1 as an example, assuming 20MHz cell, </w:t>
      </w:r>
      <w:proofErr w:type="spellStart"/>
      <w:r w:rsidR="000F6F29" w:rsidRPr="003B2F49">
        <w:rPr>
          <w:lang w:val="en-US"/>
        </w:rPr>
        <w:t>Scell</w:t>
      </w:r>
      <w:proofErr w:type="spellEnd"/>
      <w:r w:rsidR="000F6F29" w:rsidRPr="003B2F49">
        <w:rPr>
          <w:lang w:val="en-US"/>
        </w:rPr>
        <w:t xml:space="preserve"> scheduling </w:t>
      </w:r>
      <w:proofErr w:type="spellStart"/>
      <w:r w:rsidR="000F6F29" w:rsidRPr="003B2F49">
        <w:rPr>
          <w:lang w:val="en-US"/>
        </w:rPr>
        <w:t>Pcell</w:t>
      </w:r>
      <w:proofErr w:type="spellEnd"/>
      <w:r w:rsidR="000F6F29">
        <w:rPr>
          <w:lang w:val="en-US"/>
        </w:rPr>
        <w:t xml:space="preserve"> needs two DCI</w:t>
      </w:r>
      <w:r w:rsidR="003C3C96">
        <w:rPr>
          <w:lang w:val="en-US"/>
        </w:rPr>
        <w:t>s</w:t>
      </w:r>
      <w:r w:rsidR="000F6F29">
        <w:rPr>
          <w:lang w:val="en-US"/>
        </w:rPr>
        <w:t xml:space="preserve"> with 8</w:t>
      </w:r>
      <w:r w:rsidR="00663029">
        <w:rPr>
          <w:lang w:val="en-US"/>
        </w:rPr>
        <w:t>1</w:t>
      </w:r>
      <w:r w:rsidR="000F6F29">
        <w:rPr>
          <w:lang w:val="en-US"/>
        </w:rPr>
        <w:t xml:space="preserve">bits in </w:t>
      </w:r>
      <w:proofErr w:type="spellStart"/>
      <w:r w:rsidR="000F6F29">
        <w:rPr>
          <w:lang w:val="en-US"/>
        </w:rPr>
        <w:t>Scell</w:t>
      </w:r>
      <w:proofErr w:type="spellEnd"/>
      <w:r w:rsidR="000F6F29">
        <w:rPr>
          <w:lang w:val="en-US"/>
        </w:rPr>
        <w:t xml:space="preserve">. </w:t>
      </w:r>
      <w:r w:rsidR="00545354">
        <w:rPr>
          <w:lang w:val="en-US" w:eastAsia="en-US"/>
        </w:rPr>
        <w:t xml:space="preserve">As a </w:t>
      </w:r>
      <w:r w:rsidR="00545354" w:rsidRPr="00412269">
        <w:rPr>
          <w:lang w:val="en-US" w:eastAsia="en-US"/>
        </w:rPr>
        <w:t>comparison</w:t>
      </w:r>
      <w:r w:rsidR="000F6F29">
        <w:rPr>
          <w:lang w:val="en-US"/>
        </w:rPr>
        <w:t>,</w:t>
      </w:r>
      <w:r w:rsidR="000F6F29" w:rsidRPr="000F6F29">
        <w:rPr>
          <w:rFonts w:cs="Arial"/>
        </w:rPr>
        <w:t xml:space="preserve"> </w:t>
      </w:r>
      <w:r w:rsidR="003C3C96">
        <w:rPr>
          <w:rFonts w:cs="Arial"/>
        </w:rPr>
        <w:t xml:space="preserve">a </w:t>
      </w:r>
      <w:r w:rsidR="000F6F29" w:rsidRPr="00B93A65">
        <w:rPr>
          <w:rFonts w:cs="Arial"/>
        </w:rPr>
        <w:t>single PDCCH</w:t>
      </w:r>
      <w:r w:rsidR="000F6F29">
        <w:rPr>
          <w:rFonts w:cs="Arial"/>
        </w:rPr>
        <w:t xml:space="preserve"> </w:t>
      </w:r>
      <w:r w:rsidR="000F6F29" w:rsidRPr="00B93A65">
        <w:rPr>
          <w:rFonts w:cs="Arial"/>
        </w:rPr>
        <w:t xml:space="preserve">scheduling PDSCH over </w:t>
      </w:r>
      <w:r w:rsidR="000F6F29">
        <w:rPr>
          <w:rFonts w:cs="Arial"/>
        </w:rPr>
        <w:t>two</w:t>
      </w:r>
      <w:r w:rsidR="000F6F29" w:rsidRPr="00B93A65">
        <w:rPr>
          <w:rFonts w:cs="Arial"/>
        </w:rPr>
        <w:t xml:space="preserve"> cells</w:t>
      </w:r>
      <w:r w:rsidR="000F6F29">
        <w:rPr>
          <w:rFonts w:cs="Arial"/>
        </w:rPr>
        <w:t xml:space="preserve"> just </w:t>
      </w:r>
      <w:r w:rsidR="006F1347">
        <w:rPr>
          <w:rFonts w:cs="Arial"/>
        </w:rPr>
        <w:t>requires</w:t>
      </w:r>
      <w:r w:rsidR="000F6F29">
        <w:rPr>
          <w:rFonts w:cs="Arial"/>
        </w:rPr>
        <w:t xml:space="preserve"> one DCI of 8</w:t>
      </w:r>
      <w:r w:rsidR="00663029">
        <w:rPr>
          <w:rFonts w:cs="Arial"/>
        </w:rPr>
        <w:t>1</w:t>
      </w:r>
      <w:r w:rsidR="006F1347">
        <w:rPr>
          <w:rFonts w:cs="Arial"/>
        </w:rPr>
        <w:t>+14</w:t>
      </w:r>
      <w:r w:rsidR="000F6F29">
        <w:rPr>
          <w:rFonts w:cs="Arial"/>
        </w:rPr>
        <w:t>bits (</w:t>
      </w:r>
      <w:r w:rsidR="003C3C96">
        <w:rPr>
          <w:rFonts w:cs="Arial"/>
        </w:rPr>
        <w:t xml:space="preserve">assuming all fields are </w:t>
      </w:r>
      <w:r w:rsidR="000F6F29">
        <w:rPr>
          <w:rFonts w:cs="Arial"/>
        </w:rPr>
        <w:t xml:space="preserve">common for two cells except for FDRA). </w:t>
      </w:r>
      <w:r w:rsidR="00AF40A0">
        <w:rPr>
          <w:rFonts w:cs="Arial"/>
        </w:rPr>
        <w:t>Considering</w:t>
      </w:r>
      <w:r w:rsidR="000F6F29">
        <w:rPr>
          <w:rFonts w:cs="Arial"/>
        </w:rPr>
        <w:t xml:space="preserve"> scheduling </w:t>
      </w:r>
      <w:r w:rsidR="000F6F29" w:rsidRPr="003B2F49">
        <w:rPr>
          <w:lang w:val="en-US" w:eastAsia="en-US"/>
        </w:rPr>
        <w:t>flexibility</w:t>
      </w:r>
      <w:r w:rsidR="000F6F29">
        <w:rPr>
          <w:lang w:val="en-US" w:eastAsia="en-US"/>
        </w:rPr>
        <w:t xml:space="preserve">, some </w:t>
      </w:r>
      <w:r w:rsidR="00491A48" w:rsidRPr="00491A48">
        <w:rPr>
          <w:lang w:val="en-US" w:eastAsia="en-US"/>
        </w:rPr>
        <w:t xml:space="preserve">independent </w:t>
      </w:r>
      <w:r w:rsidR="000F6F29">
        <w:rPr>
          <w:lang w:val="en-US" w:eastAsia="en-US"/>
        </w:rPr>
        <w:t xml:space="preserve">fields (e.g., MCS) can be indicated for each cell. Anyway, the </w:t>
      </w:r>
      <w:r w:rsidR="000F6F29" w:rsidRPr="00412269">
        <w:rPr>
          <w:lang w:val="en-US" w:eastAsia="en-US"/>
        </w:rPr>
        <w:t>control overhead</w:t>
      </w:r>
      <w:r w:rsidR="000F6F29">
        <w:rPr>
          <w:lang w:val="en-US" w:eastAsia="en-US"/>
        </w:rPr>
        <w:t xml:space="preserve"> </w:t>
      </w:r>
      <w:r w:rsidR="00AF40A0">
        <w:rPr>
          <w:lang w:val="en-US" w:eastAsia="en-US"/>
        </w:rPr>
        <w:t>is</w:t>
      </w:r>
      <w:r w:rsidR="000F6F29">
        <w:rPr>
          <w:lang w:val="en-US" w:eastAsia="en-US"/>
        </w:rPr>
        <w:t xml:space="preserve"> obviously reduced</w:t>
      </w:r>
      <w:r w:rsidR="004F7D11">
        <w:rPr>
          <w:lang w:val="en-US" w:eastAsia="en-US"/>
        </w:rPr>
        <w:t xml:space="preserve"> and channel coding gain </w:t>
      </w:r>
      <w:r w:rsidR="00AF40A0">
        <w:rPr>
          <w:lang w:val="en-US" w:eastAsia="en-US"/>
        </w:rPr>
        <w:t>is achieved</w:t>
      </w:r>
      <w:r w:rsidR="00840A83">
        <w:rPr>
          <w:lang w:val="en-US" w:eastAsia="en-US"/>
        </w:rPr>
        <w:t xml:space="preserve">, thus </w:t>
      </w:r>
      <w:r w:rsidR="00840A83">
        <w:rPr>
          <w:rFonts w:cs="Arial"/>
        </w:rPr>
        <w:t xml:space="preserve">scheduling capacity is </w:t>
      </w:r>
      <w:r w:rsidR="00AF40A0">
        <w:rPr>
          <w:rFonts w:cs="Arial"/>
        </w:rPr>
        <w:t>enhanced</w:t>
      </w:r>
      <w:r w:rsidR="000F6F29">
        <w:rPr>
          <w:lang w:val="en-US" w:eastAsia="en-US"/>
        </w:rPr>
        <w:t>.</w:t>
      </w:r>
      <w:r w:rsidR="004F7D11">
        <w:rPr>
          <w:lang w:val="en-US" w:eastAsia="en-US"/>
        </w:rPr>
        <w:t xml:space="preserve"> As shown in [</w:t>
      </w:r>
      <w:r w:rsidR="000A41FD">
        <w:rPr>
          <w:lang w:val="en-US" w:eastAsia="en-US"/>
        </w:rPr>
        <w:t>1</w:t>
      </w:r>
      <w:r w:rsidR="004F7D11">
        <w:rPr>
          <w:lang w:val="en-US" w:eastAsia="en-US"/>
        </w:rPr>
        <w:t xml:space="preserve">], </w:t>
      </w:r>
      <w:r w:rsidR="003C3C96">
        <w:rPr>
          <w:lang w:val="en-US" w:eastAsia="en-US"/>
        </w:rPr>
        <w:t xml:space="preserve">about </w:t>
      </w:r>
      <w:r w:rsidR="004F7D11">
        <w:rPr>
          <w:lang w:val="en-US" w:eastAsia="en-US"/>
        </w:rPr>
        <w:t>18%</w:t>
      </w:r>
      <w:r w:rsidR="005835AB">
        <w:rPr>
          <w:lang w:val="en-US" w:eastAsia="en-US"/>
        </w:rPr>
        <w:t xml:space="preserve"> throughput gain can be achieved</w:t>
      </w:r>
      <w:r w:rsidR="00A4286B">
        <w:rPr>
          <w:lang w:val="en-US" w:eastAsia="en-US"/>
        </w:rPr>
        <w:t xml:space="preserve"> for a </w:t>
      </w:r>
      <w:r w:rsidR="00A4286B" w:rsidRPr="00B93A65">
        <w:rPr>
          <w:rFonts w:cs="Arial"/>
        </w:rPr>
        <w:t>single PDCCH</w:t>
      </w:r>
      <w:r w:rsidR="00A4286B">
        <w:rPr>
          <w:rFonts w:cs="Arial"/>
        </w:rPr>
        <w:t xml:space="preserve"> </w:t>
      </w:r>
      <w:r w:rsidR="00A4286B" w:rsidRPr="00B93A65">
        <w:rPr>
          <w:rFonts w:cs="Arial"/>
        </w:rPr>
        <w:t xml:space="preserve">scheduling PDSCH over </w:t>
      </w:r>
      <w:r w:rsidR="00A4286B">
        <w:rPr>
          <w:rFonts w:cs="Arial"/>
        </w:rPr>
        <w:t>three</w:t>
      </w:r>
      <w:r w:rsidR="00A4286B" w:rsidRPr="00B93A65">
        <w:rPr>
          <w:rFonts w:cs="Arial"/>
        </w:rPr>
        <w:t xml:space="preserve"> </w:t>
      </w:r>
      <w:r w:rsidR="00A4286B">
        <w:rPr>
          <w:rFonts w:cs="Arial"/>
        </w:rPr>
        <w:t>5</w:t>
      </w:r>
      <w:r w:rsidR="006B5802">
        <w:rPr>
          <w:rFonts w:cs="Arial"/>
        </w:rPr>
        <w:t xml:space="preserve"> or </w:t>
      </w:r>
      <w:r w:rsidR="00A4286B">
        <w:rPr>
          <w:rFonts w:cs="Arial"/>
        </w:rPr>
        <w:t>10</w:t>
      </w:r>
      <w:r w:rsidR="006B5802">
        <w:rPr>
          <w:rFonts w:cs="Arial"/>
        </w:rPr>
        <w:t xml:space="preserve"> </w:t>
      </w:r>
      <w:r w:rsidR="00A4286B">
        <w:rPr>
          <w:rFonts w:cs="Arial"/>
        </w:rPr>
        <w:t xml:space="preserve">MHz </w:t>
      </w:r>
      <w:r w:rsidR="00A4286B" w:rsidRPr="00B93A65">
        <w:rPr>
          <w:rFonts w:cs="Arial"/>
        </w:rPr>
        <w:t>cells</w:t>
      </w:r>
      <w:r w:rsidR="005835AB">
        <w:rPr>
          <w:lang w:val="en-US" w:eastAsia="en-US"/>
        </w:rPr>
        <w:t>.</w:t>
      </w:r>
    </w:p>
    <w:p w14:paraId="41ABBB70" w14:textId="1FAF7011" w:rsidR="00DE79D2" w:rsidRDefault="00F84242" w:rsidP="009776B1">
      <w:pPr>
        <w:rPr>
          <w:rFonts w:cs="Arial"/>
        </w:rPr>
      </w:pPr>
      <w:r>
        <w:rPr>
          <w:lang w:val="en-US" w:eastAsia="en-US"/>
        </w:rPr>
        <w:t xml:space="preserve">In addition to </w:t>
      </w:r>
      <w:r w:rsidRPr="00412269">
        <w:rPr>
          <w:lang w:val="en-US" w:eastAsia="en-US"/>
        </w:rPr>
        <w:t>control overhead</w:t>
      </w:r>
      <w:r>
        <w:rPr>
          <w:lang w:val="en-US" w:eastAsia="en-US"/>
        </w:rPr>
        <w:t xml:space="preserve"> reduction,</w:t>
      </w:r>
      <w:r w:rsidR="004056A4">
        <w:rPr>
          <w:lang w:val="en-US" w:eastAsia="en-US"/>
        </w:rPr>
        <w:t xml:space="preserve"> </w:t>
      </w:r>
      <w:r w:rsidR="003C3C96">
        <w:rPr>
          <w:lang w:val="en-US" w:eastAsia="en-US"/>
        </w:rPr>
        <w:t xml:space="preserve">a </w:t>
      </w:r>
      <w:r w:rsidR="004056A4" w:rsidRPr="00B93A65">
        <w:rPr>
          <w:rFonts w:cs="Arial"/>
        </w:rPr>
        <w:t>single PDCCH</w:t>
      </w:r>
      <w:r w:rsidR="004056A4">
        <w:rPr>
          <w:rFonts w:cs="Arial"/>
        </w:rPr>
        <w:t xml:space="preserve"> </w:t>
      </w:r>
      <w:r w:rsidR="004056A4" w:rsidRPr="00B93A65">
        <w:rPr>
          <w:rFonts w:cs="Arial"/>
        </w:rPr>
        <w:t>scheduling PDSCH over multiple cells</w:t>
      </w:r>
      <w:r w:rsidR="004056A4">
        <w:rPr>
          <w:rFonts w:cs="Arial"/>
        </w:rPr>
        <w:t xml:space="preserve"> can save UE</w:t>
      </w:r>
      <w:r w:rsidR="00545354">
        <w:rPr>
          <w:rFonts w:cs="Arial"/>
        </w:rPr>
        <w:t>’s</w:t>
      </w:r>
      <w:r w:rsidR="004056A4">
        <w:rPr>
          <w:rFonts w:cs="Arial"/>
        </w:rPr>
        <w:t xml:space="preserve"> power consumption thanks to PDCCH candidate detection reduction. </w:t>
      </w:r>
      <w:r w:rsidR="006F1347">
        <w:rPr>
          <w:rFonts w:cs="Arial"/>
        </w:rPr>
        <w:t xml:space="preserve">For example, </w:t>
      </w:r>
      <w:r w:rsidR="007F0F24">
        <w:rPr>
          <w:rFonts w:cs="Arial"/>
        </w:rPr>
        <w:t xml:space="preserve">based on </w:t>
      </w:r>
      <w:r w:rsidR="00545354">
        <w:rPr>
          <w:rFonts w:cs="Arial"/>
        </w:rPr>
        <w:t>the power s</w:t>
      </w:r>
      <w:r w:rsidR="004056A4">
        <w:rPr>
          <w:rFonts w:cs="Arial"/>
        </w:rPr>
        <w:t>c</w:t>
      </w:r>
      <w:r w:rsidR="00545354">
        <w:rPr>
          <w:rFonts w:cs="Arial"/>
        </w:rPr>
        <w:t>a</w:t>
      </w:r>
      <w:r w:rsidR="004056A4">
        <w:rPr>
          <w:rFonts w:cs="Arial"/>
        </w:rPr>
        <w:t xml:space="preserve">ling for PDCCH candidate reduction </w:t>
      </w:r>
      <w:proofErr w:type="gramStart"/>
      <w:r w:rsidR="007F0F24" w:rsidRPr="00306F1A">
        <w:t>P(</w:t>
      </w:r>
      <w:proofErr w:type="gramEnd"/>
      <w:r w:rsidR="007F0F24" w:rsidRPr="00306F1A">
        <w:t>α) = α ∙ Pt + (1 – α) ∙ 0.7Pt</w:t>
      </w:r>
      <w:r w:rsidR="007F0F24">
        <w:t xml:space="preserve"> </w:t>
      </w:r>
      <w:r w:rsidR="007F0F24" w:rsidRPr="00306F1A">
        <w:t xml:space="preserve">where α is the ratio of PDCCH candidates to the max number of PDCCH candidates in the reference configuration </w:t>
      </w:r>
      <w:r w:rsidR="007F0F24">
        <w:t>and</w:t>
      </w:r>
      <w:r w:rsidR="007F0F24" w:rsidRPr="00306F1A">
        <w:t xml:space="preserve"> Pt is the PDCCH-only power </w:t>
      </w:r>
      <w:r w:rsidR="00491A48">
        <w:t xml:space="preserve">[2] </w:t>
      </w:r>
      <w:r w:rsidR="007F0F24">
        <w:t>(</w:t>
      </w:r>
      <w:r w:rsidR="007F0F24">
        <w:rPr>
          <w:rFonts w:cs="Arial"/>
        </w:rPr>
        <w:t>agreed</w:t>
      </w:r>
      <w:r w:rsidR="004056A4">
        <w:rPr>
          <w:rFonts w:cs="Arial"/>
        </w:rPr>
        <w:t xml:space="preserve"> in RAN1#</w:t>
      </w:r>
      <w:r w:rsidR="006F1347">
        <w:rPr>
          <w:rFonts w:cs="Arial"/>
        </w:rPr>
        <w:t>95</w:t>
      </w:r>
      <w:r w:rsidR="007F0F24">
        <w:rPr>
          <w:rFonts w:cs="Arial"/>
        </w:rPr>
        <w:t>)</w:t>
      </w:r>
      <w:r w:rsidR="004056A4">
        <w:rPr>
          <w:rFonts w:cs="Arial"/>
        </w:rPr>
        <w:t xml:space="preserve">, </w:t>
      </w:r>
      <w:r w:rsidR="003C3C96">
        <w:rPr>
          <w:rFonts w:cs="Arial"/>
        </w:rPr>
        <w:t xml:space="preserve">a </w:t>
      </w:r>
      <w:r w:rsidR="004056A4" w:rsidRPr="00B93A65">
        <w:rPr>
          <w:rFonts w:cs="Arial"/>
        </w:rPr>
        <w:t>single PDCCH</w:t>
      </w:r>
      <w:r w:rsidR="004056A4">
        <w:rPr>
          <w:rFonts w:cs="Arial"/>
        </w:rPr>
        <w:t xml:space="preserve"> </w:t>
      </w:r>
      <w:r w:rsidR="004056A4" w:rsidRPr="00B93A65">
        <w:rPr>
          <w:rFonts w:cs="Arial"/>
        </w:rPr>
        <w:t xml:space="preserve">scheduling PDSCH over </w:t>
      </w:r>
      <w:r w:rsidR="004056A4">
        <w:rPr>
          <w:rFonts w:cs="Arial"/>
        </w:rPr>
        <w:t>two</w:t>
      </w:r>
      <w:r w:rsidR="004056A4" w:rsidRPr="00B93A65">
        <w:rPr>
          <w:rFonts w:cs="Arial"/>
        </w:rPr>
        <w:t xml:space="preserve"> cells</w:t>
      </w:r>
      <w:r w:rsidR="004056A4">
        <w:rPr>
          <w:rFonts w:cs="Arial"/>
        </w:rPr>
        <w:t xml:space="preserve"> can save </w:t>
      </w:r>
      <w:r w:rsidR="007F0F24">
        <w:rPr>
          <w:rFonts w:cs="Arial"/>
        </w:rPr>
        <w:t>10</w:t>
      </w:r>
      <w:r w:rsidR="004056A4">
        <w:rPr>
          <w:rFonts w:cs="Arial"/>
        </w:rPr>
        <w:t xml:space="preserve">~15% power </w:t>
      </w:r>
      <w:r w:rsidR="00545354">
        <w:rPr>
          <w:rFonts w:cs="Arial"/>
        </w:rPr>
        <w:t xml:space="preserve">consumption comparing with </w:t>
      </w:r>
      <w:proofErr w:type="spellStart"/>
      <w:r w:rsidR="00545354" w:rsidRPr="003B2F49">
        <w:rPr>
          <w:lang w:val="en-US"/>
        </w:rPr>
        <w:t>Scell</w:t>
      </w:r>
      <w:proofErr w:type="spellEnd"/>
      <w:r w:rsidR="00545354" w:rsidRPr="003B2F49">
        <w:rPr>
          <w:lang w:val="en-US"/>
        </w:rPr>
        <w:t xml:space="preserve"> scheduling </w:t>
      </w:r>
      <w:proofErr w:type="spellStart"/>
      <w:r w:rsidR="00545354" w:rsidRPr="003B2F49">
        <w:rPr>
          <w:lang w:val="en-US"/>
        </w:rPr>
        <w:t>Pcell</w:t>
      </w:r>
      <w:proofErr w:type="spellEnd"/>
      <w:r w:rsidR="00545354">
        <w:rPr>
          <w:lang w:val="en-US"/>
        </w:rPr>
        <w:t xml:space="preserve"> </w:t>
      </w:r>
      <w:r w:rsidR="00545354">
        <w:rPr>
          <w:rFonts w:cs="Arial"/>
        </w:rPr>
        <w:t xml:space="preserve">since the </w:t>
      </w:r>
      <w:r w:rsidR="003C3C96">
        <w:rPr>
          <w:rFonts w:cs="Arial"/>
        </w:rPr>
        <w:t xml:space="preserve">number of </w:t>
      </w:r>
      <w:r w:rsidR="00545354">
        <w:rPr>
          <w:rFonts w:cs="Arial"/>
        </w:rPr>
        <w:t>PDCC</w:t>
      </w:r>
      <w:r w:rsidR="004056A4">
        <w:rPr>
          <w:rFonts w:cs="Arial"/>
        </w:rPr>
        <w:t>H candidate</w:t>
      </w:r>
      <w:r w:rsidR="003C3C96">
        <w:rPr>
          <w:rFonts w:cs="Arial"/>
        </w:rPr>
        <w:t>s</w:t>
      </w:r>
      <w:r w:rsidR="004056A4">
        <w:rPr>
          <w:rFonts w:cs="Arial"/>
        </w:rPr>
        <w:t xml:space="preserve"> is </w:t>
      </w:r>
      <w:r w:rsidR="00545354">
        <w:rPr>
          <w:rFonts w:cs="Arial"/>
        </w:rPr>
        <w:t>halved</w:t>
      </w:r>
      <w:r w:rsidR="004056A4">
        <w:rPr>
          <w:rFonts w:cs="Arial"/>
        </w:rPr>
        <w:t>.</w:t>
      </w:r>
      <w:r w:rsidR="0056783E">
        <w:rPr>
          <w:rFonts w:cs="Arial"/>
        </w:rPr>
        <w:t xml:space="preserve"> </w:t>
      </w:r>
      <w:r w:rsidR="00DE79D2">
        <w:rPr>
          <w:rFonts w:cs="Arial"/>
        </w:rPr>
        <w:t xml:space="preserve">On the other hand, if the number of cells scheduled by the same DCI is </w:t>
      </w:r>
      <w:r w:rsidR="008F1DD4">
        <w:rPr>
          <w:rFonts w:cs="Arial"/>
        </w:rPr>
        <w:t>not limited</w:t>
      </w:r>
      <w:r w:rsidR="00DE79D2">
        <w:rPr>
          <w:rFonts w:cs="Arial"/>
        </w:rPr>
        <w:t xml:space="preserve">, the DCI size </w:t>
      </w:r>
      <w:r w:rsidR="008F1DD4">
        <w:rPr>
          <w:rFonts w:cs="Arial"/>
        </w:rPr>
        <w:t xml:space="preserve">will scale </w:t>
      </w:r>
      <w:r w:rsidR="00D41069">
        <w:rPr>
          <w:rFonts w:cs="Arial"/>
        </w:rPr>
        <w:t xml:space="preserve">up </w:t>
      </w:r>
      <w:r w:rsidR="008F1DD4">
        <w:rPr>
          <w:rFonts w:cs="Arial"/>
        </w:rPr>
        <w:t xml:space="preserve">which may </w:t>
      </w:r>
      <w:r w:rsidR="00DE79D2">
        <w:rPr>
          <w:rFonts w:cs="Arial"/>
        </w:rPr>
        <w:t>require</w:t>
      </w:r>
      <w:r w:rsidR="008F1DD4">
        <w:rPr>
          <w:rFonts w:cs="Arial"/>
        </w:rPr>
        <w:t xml:space="preserve"> more than 16</w:t>
      </w:r>
      <w:r w:rsidR="00DE79D2">
        <w:rPr>
          <w:rFonts w:cs="Arial"/>
        </w:rPr>
        <w:t xml:space="preserve"> CCEs</w:t>
      </w:r>
      <w:r w:rsidR="008F1DD4">
        <w:rPr>
          <w:rFonts w:cs="Arial"/>
        </w:rPr>
        <w:t xml:space="preserve"> and have impact on the target BLER of PDCCH. </w:t>
      </w:r>
      <w:r w:rsidR="003C3C96">
        <w:rPr>
          <w:rFonts w:cs="Arial"/>
        </w:rPr>
        <w:t>In practice</w:t>
      </w:r>
      <w:r w:rsidR="00D41069">
        <w:rPr>
          <w:rFonts w:cs="Arial"/>
        </w:rPr>
        <w:t>, one non-DSS carrier</w:t>
      </w:r>
      <w:r w:rsidR="008F1DD4">
        <w:rPr>
          <w:rFonts w:cs="Arial"/>
        </w:rPr>
        <w:t xml:space="preserve"> </w:t>
      </w:r>
      <w:r w:rsidR="00D41069" w:rsidRPr="00D41069">
        <w:rPr>
          <w:rFonts w:cs="Arial"/>
        </w:rPr>
        <w:t>assist</w:t>
      </w:r>
      <w:r w:rsidR="00D41069">
        <w:rPr>
          <w:rFonts w:cs="Arial"/>
        </w:rPr>
        <w:t>ing</w:t>
      </w:r>
      <w:r w:rsidR="00D41069" w:rsidRPr="00D41069">
        <w:rPr>
          <w:rFonts w:cs="Arial"/>
        </w:rPr>
        <w:t xml:space="preserve"> </w:t>
      </w:r>
      <w:r w:rsidR="00D41069">
        <w:rPr>
          <w:rFonts w:cs="Arial"/>
        </w:rPr>
        <w:t xml:space="preserve">one DSS carrier </w:t>
      </w:r>
      <w:r w:rsidR="003C3C96">
        <w:rPr>
          <w:rFonts w:cs="Arial"/>
        </w:rPr>
        <w:t>may be sufficient</w:t>
      </w:r>
      <w:r w:rsidR="00D41069">
        <w:rPr>
          <w:rFonts w:cs="Arial"/>
        </w:rPr>
        <w:t xml:space="preserve">. Thus, </w:t>
      </w:r>
      <w:r w:rsidR="00E23524">
        <w:rPr>
          <w:rFonts w:cs="Arial"/>
        </w:rPr>
        <w:t xml:space="preserve">it </w:t>
      </w:r>
      <w:r w:rsidR="003C3C96">
        <w:rPr>
          <w:rFonts w:cs="Arial"/>
        </w:rPr>
        <w:t>can be considered reasonable</w:t>
      </w:r>
      <w:r w:rsidR="00E23524">
        <w:rPr>
          <w:rFonts w:cs="Arial"/>
        </w:rPr>
        <w:t xml:space="preserve"> to restrict the maximum number of scheduled cells </w:t>
      </w:r>
      <w:r w:rsidR="003C3C96">
        <w:rPr>
          <w:rFonts w:cs="Arial"/>
        </w:rPr>
        <w:t xml:space="preserve">to </w:t>
      </w:r>
      <w:r w:rsidR="00E23524">
        <w:rPr>
          <w:rFonts w:cs="Arial"/>
        </w:rPr>
        <w:t>2 or 3</w:t>
      </w:r>
      <w:r w:rsidR="003C3C96">
        <w:rPr>
          <w:rFonts w:cs="Arial"/>
        </w:rPr>
        <w:t>,</w:t>
      </w:r>
      <w:r w:rsidR="00E23524">
        <w:rPr>
          <w:rFonts w:cs="Arial"/>
        </w:rPr>
        <w:t xml:space="preserve"> or </w:t>
      </w:r>
      <w:r w:rsidR="003C3C96">
        <w:rPr>
          <w:rFonts w:cs="Arial"/>
        </w:rPr>
        <w:t xml:space="preserve">to </w:t>
      </w:r>
      <w:r w:rsidR="00E23524">
        <w:rPr>
          <w:rFonts w:cs="Arial"/>
        </w:rPr>
        <w:t xml:space="preserve">restrict the maximum number of </w:t>
      </w:r>
      <w:r w:rsidR="00125C8C" w:rsidRPr="00125C8C">
        <w:rPr>
          <w:rFonts w:cs="Arial"/>
        </w:rPr>
        <w:t xml:space="preserve">schedulable </w:t>
      </w:r>
      <w:r w:rsidR="00E23524">
        <w:rPr>
          <w:rFonts w:cs="Arial"/>
        </w:rPr>
        <w:t>RBs</w:t>
      </w:r>
      <w:r w:rsidR="00125C8C">
        <w:rPr>
          <w:rFonts w:cs="Arial"/>
        </w:rPr>
        <w:t xml:space="preserve"> </w:t>
      </w:r>
      <w:r w:rsidR="006B5802">
        <w:rPr>
          <w:rFonts w:cs="Arial"/>
        </w:rPr>
        <w:t>with</w:t>
      </w:r>
      <w:r w:rsidR="00125C8C">
        <w:rPr>
          <w:rFonts w:cs="Arial"/>
        </w:rPr>
        <w:t xml:space="preserve"> a single PDCCH</w:t>
      </w:r>
      <w:r w:rsidR="006B5802">
        <w:rPr>
          <w:rFonts w:cs="Arial"/>
        </w:rPr>
        <w:t xml:space="preserve"> (e.g.</w:t>
      </w:r>
      <w:r w:rsidR="00E23524">
        <w:rPr>
          <w:rFonts w:cs="Arial"/>
        </w:rPr>
        <w:t xml:space="preserve"> 273 </w:t>
      </w:r>
      <w:r w:rsidR="006B5802">
        <w:rPr>
          <w:rFonts w:cs="Arial"/>
        </w:rPr>
        <w:t>as in</w:t>
      </w:r>
      <w:r w:rsidR="00E23524">
        <w:rPr>
          <w:rFonts w:cs="Arial"/>
        </w:rPr>
        <w:t xml:space="preserve"> Rel-15/16</w:t>
      </w:r>
      <w:r w:rsidR="006B5802">
        <w:rPr>
          <w:rFonts w:cs="Arial"/>
        </w:rPr>
        <w:t>)</w:t>
      </w:r>
      <w:r w:rsidR="00E23524">
        <w:rPr>
          <w:rFonts w:cs="Arial"/>
        </w:rPr>
        <w:t>.</w:t>
      </w:r>
    </w:p>
    <w:p w14:paraId="75AA4DDB" w14:textId="73372826" w:rsidR="00D278DB" w:rsidRDefault="00DD04CC" w:rsidP="0056783E">
      <w:pPr>
        <w:spacing w:after="0"/>
        <w:rPr>
          <w:rFonts w:cs="Arial"/>
        </w:rPr>
      </w:pPr>
      <w:r>
        <w:rPr>
          <w:lang w:val="en-US" w:eastAsia="en-US"/>
        </w:rPr>
        <w:t>In summary</w:t>
      </w:r>
      <w:r w:rsidR="004D5045">
        <w:rPr>
          <w:lang w:val="en-US" w:eastAsia="en-US"/>
        </w:rPr>
        <w:t xml:space="preserve">, </w:t>
      </w:r>
      <w:r w:rsidR="00B64A35" w:rsidRPr="00B64A35">
        <w:rPr>
          <w:lang w:val="en-US" w:eastAsia="en-US"/>
        </w:rPr>
        <w:t xml:space="preserve">we </w:t>
      </w:r>
      <w:r w:rsidR="0056783E">
        <w:rPr>
          <w:lang w:val="en-US" w:eastAsia="en-US"/>
        </w:rPr>
        <w:t>propose</w:t>
      </w:r>
      <w:r w:rsidR="00B64A35" w:rsidRPr="00B64A35">
        <w:rPr>
          <w:lang w:val="en-US" w:eastAsia="en-US"/>
        </w:rPr>
        <w:t xml:space="preserve"> </w:t>
      </w:r>
      <w:r w:rsidR="00AF40A0">
        <w:rPr>
          <w:lang w:val="en-US" w:eastAsia="en-US"/>
        </w:rPr>
        <w:t xml:space="preserve">to </w:t>
      </w:r>
      <w:r w:rsidR="0056783E">
        <w:rPr>
          <w:lang w:val="en-US" w:eastAsia="en-US"/>
        </w:rPr>
        <w:t xml:space="preserve">introduce </w:t>
      </w:r>
      <w:r w:rsidR="00AF40A0">
        <w:rPr>
          <w:lang w:val="en-US" w:eastAsia="en-US"/>
        </w:rPr>
        <w:t xml:space="preserve">support </w:t>
      </w:r>
      <w:r w:rsidR="0056783E">
        <w:rPr>
          <w:lang w:val="en-US" w:eastAsia="en-US"/>
        </w:rPr>
        <w:t xml:space="preserve">for </w:t>
      </w:r>
      <w:r w:rsidR="00152B02" w:rsidRPr="00B93A65">
        <w:rPr>
          <w:rFonts w:cs="Arial"/>
        </w:rPr>
        <w:t>single PDCCH</w:t>
      </w:r>
      <w:r w:rsidR="00152B02">
        <w:rPr>
          <w:rFonts w:cs="Arial"/>
        </w:rPr>
        <w:t xml:space="preserve"> </w:t>
      </w:r>
      <w:r w:rsidR="00152B02" w:rsidRPr="00B93A65">
        <w:rPr>
          <w:rFonts w:cs="Arial"/>
        </w:rPr>
        <w:t xml:space="preserve">scheduling PDSCH over </w:t>
      </w:r>
      <w:r w:rsidR="00E23524">
        <w:rPr>
          <w:rFonts w:cs="Arial"/>
        </w:rPr>
        <w:t>2 or 3</w:t>
      </w:r>
      <w:r w:rsidR="00152B02" w:rsidRPr="00B93A65">
        <w:rPr>
          <w:rFonts w:cs="Arial"/>
        </w:rPr>
        <w:t xml:space="preserve"> cells</w:t>
      </w:r>
      <w:r w:rsidR="00152B02" w:rsidRPr="00B64A35">
        <w:rPr>
          <w:lang w:val="en-US" w:eastAsia="en-US"/>
        </w:rPr>
        <w:t xml:space="preserve"> </w:t>
      </w:r>
      <w:r w:rsidR="00AF40A0">
        <w:rPr>
          <w:lang w:val="en-US" w:eastAsia="en-US"/>
        </w:rPr>
        <w:t>for</w:t>
      </w:r>
      <w:r w:rsidR="00152B02">
        <w:rPr>
          <w:lang w:val="en-US" w:eastAsia="en-US"/>
        </w:rPr>
        <w:t xml:space="preserve"> NR CA</w:t>
      </w:r>
      <w:r w:rsidR="003C3C96">
        <w:rPr>
          <w:lang w:val="en-US" w:eastAsia="en-US"/>
        </w:rPr>
        <w:t>, and this should eventually be applicable</w:t>
      </w:r>
      <w:r w:rsidR="00152B02">
        <w:rPr>
          <w:lang w:val="en-US" w:eastAsia="en-US"/>
        </w:rPr>
        <w:t xml:space="preserve"> with or without DSS</w:t>
      </w:r>
      <w:r w:rsidR="00B64A35" w:rsidRPr="00B64A35">
        <w:rPr>
          <w:lang w:val="en-US" w:eastAsia="en-US"/>
        </w:rPr>
        <w:t>.</w:t>
      </w:r>
      <w:r w:rsidR="00545354">
        <w:rPr>
          <w:lang w:val="en-US" w:eastAsia="en-US"/>
        </w:rPr>
        <w:t xml:space="preserve"> It </w:t>
      </w:r>
      <w:r w:rsidR="00D278DB">
        <w:rPr>
          <w:lang w:val="en-US" w:eastAsia="en-US"/>
        </w:rPr>
        <w:t>provides benefits</w:t>
      </w:r>
      <w:r w:rsidR="00545354">
        <w:rPr>
          <w:lang w:val="en-US" w:eastAsia="en-US"/>
        </w:rPr>
        <w:t xml:space="preserve"> in term of </w:t>
      </w:r>
      <w:r w:rsidR="00545354">
        <w:rPr>
          <w:rFonts w:cs="Arial"/>
        </w:rPr>
        <w:t>scheduling capacity</w:t>
      </w:r>
      <w:r w:rsidR="00D278DB">
        <w:rPr>
          <w:rFonts w:cs="Arial"/>
        </w:rPr>
        <w:t>, spectrum efficiency</w:t>
      </w:r>
      <w:r w:rsidR="00545354">
        <w:rPr>
          <w:rFonts w:cs="Arial"/>
        </w:rPr>
        <w:t xml:space="preserve"> and UE power saving especially when </w:t>
      </w:r>
      <w:r w:rsidR="00545354" w:rsidRPr="000F6F29">
        <w:rPr>
          <w:rFonts w:cs="Arial"/>
        </w:rPr>
        <w:t>the traffic is not sporadic</w:t>
      </w:r>
      <w:r w:rsidR="00545354">
        <w:rPr>
          <w:rFonts w:cs="Arial"/>
        </w:rPr>
        <w:t xml:space="preserve">. </w:t>
      </w:r>
    </w:p>
    <w:p w14:paraId="2814D73F" w14:textId="6E4EC6BA" w:rsidR="00F0188C" w:rsidRDefault="00F94635" w:rsidP="00F94635">
      <w:pPr>
        <w:pStyle w:val="Heading1"/>
      </w:pPr>
      <w:r>
        <w:t>Objective proposals</w:t>
      </w:r>
    </w:p>
    <w:p w14:paraId="1C25B99F" w14:textId="639943F5" w:rsidR="00F94635" w:rsidRDefault="00F94635" w:rsidP="00F94635">
      <w:pPr>
        <w:rPr>
          <w:lang w:eastAsia="en-US"/>
        </w:rPr>
      </w:pPr>
      <w:r>
        <w:rPr>
          <w:lang w:eastAsia="en-US"/>
        </w:rPr>
        <w:t>Based on the email discussions in RAN_DRAF</w:t>
      </w:r>
      <w:r w:rsidR="003C3C96">
        <w:rPr>
          <w:lang w:eastAsia="en-US"/>
        </w:rPr>
        <w:t>T</w:t>
      </w:r>
      <w:r>
        <w:rPr>
          <w:lang w:eastAsia="en-US"/>
        </w:rPr>
        <w:t xml:space="preserve"> reflector and the above discussions, our proposals on the objectives of </w:t>
      </w:r>
      <w:r w:rsidR="00152B02">
        <w:rPr>
          <w:lang w:eastAsia="en-US"/>
        </w:rPr>
        <w:t>CA/DSS</w:t>
      </w:r>
      <w:r>
        <w:rPr>
          <w:lang w:eastAsia="en-US"/>
        </w:rPr>
        <w:t xml:space="preserve"> </w:t>
      </w:r>
      <w:r w:rsidR="003C3C96">
        <w:rPr>
          <w:lang w:eastAsia="en-US"/>
        </w:rPr>
        <w:t xml:space="preserve">WID </w:t>
      </w:r>
      <w:r w:rsidR="004A62CC">
        <w:rPr>
          <w:lang w:eastAsia="en-US"/>
        </w:rPr>
        <w:t>at least include</w:t>
      </w:r>
    </w:p>
    <w:p w14:paraId="37733FDF" w14:textId="07780302" w:rsidR="003C3C96" w:rsidRPr="00C97FC3" w:rsidRDefault="003C3C96" w:rsidP="0056783E">
      <w:pPr>
        <w:pStyle w:val="ListParagraph"/>
        <w:numPr>
          <w:ilvl w:val="0"/>
          <w:numId w:val="47"/>
        </w:numPr>
        <w:overflowPunct/>
        <w:autoSpaceDE/>
        <w:autoSpaceDN/>
        <w:adjustRightInd/>
        <w:spacing w:after="0" w:line="276" w:lineRule="auto"/>
        <w:ind w:left="704"/>
        <w:contextualSpacing w:val="0"/>
        <w:textAlignment w:val="auto"/>
        <w:rPr>
          <w:rFonts w:cs="Arial"/>
          <w:lang w:eastAsia="en-US"/>
        </w:rPr>
      </w:pPr>
      <w:r>
        <w:rPr>
          <w:rFonts w:ascii="Times New Roman" w:hAnsi="Times New Roman"/>
          <w:b/>
          <w:szCs w:val="24"/>
        </w:rPr>
        <w:t>S</w:t>
      </w:r>
      <w:r w:rsidR="001A289B">
        <w:rPr>
          <w:rFonts w:ascii="Times New Roman" w:hAnsi="Times New Roman"/>
          <w:b/>
          <w:szCs w:val="24"/>
        </w:rPr>
        <w:t xml:space="preserve">pecify </w:t>
      </w:r>
      <w:r w:rsidR="00A269BC" w:rsidRPr="00A269BC">
        <w:rPr>
          <w:rFonts w:ascii="Times New Roman" w:hAnsi="Times New Roman"/>
          <w:b/>
          <w:szCs w:val="24"/>
        </w:rPr>
        <w:t xml:space="preserve">PDCCH capacity enhancements along with L1 control overhead reduction in the context of DL CA where some </w:t>
      </w:r>
      <w:r>
        <w:rPr>
          <w:rFonts w:ascii="Times New Roman" w:hAnsi="Times New Roman"/>
          <w:b/>
          <w:szCs w:val="24"/>
        </w:rPr>
        <w:t xml:space="preserve">scheduled </w:t>
      </w:r>
      <w:r w:rsidR="00A269BC" w:rsidRPr="00A269BC">
        <w:rPr>
          <w:rFonts w:ascii="Times New Roman" w:hAnsi="Times New Roman"/>
          <w:b/>
          <w:szCs w:val="24"/>
        </w:rPr>
        <w:t>carrier(s) could use DSS between NR and LTE</w:t>
      </w:r>
      <w:r>
        <w:rPr>
          <w:rFonts w:ascii="Times New Roman" w:hAnsi="Times New Roman"/>
          <w:b/>
          <w:szCs w:val="24"/>
        </w:rPr>
        <w:t>. The enhancements should support at least the following functionalities:</w:t>
      </w:r>
    </w:p>
    <w:p w14:paraId="35264509" w14:textId="0181A6E0" w:rsidR="003C3C96" w:rsidRPr="003C3C96" w:rsidRDefault="003C3C96" w:rsidP="0056783E">
      <w:pPr>
        <w:pStyle w:val="ListParagraph"/>
        <w:numPr>
          <w:ilvl w:val="2"/>
          <w:numId w:val="50"/>
        </w:numPr>
        <w:overflowPunct/>
        <w:autoSpaceDE/>
        <w:autoSpaceDN/>
        <w:adjustRightInd/>
        <w:spacing w:after="0" w:line="276" w:lineRule="auto"/>
        <w:ind w:left="1259"/>
        <w:contextualSpacing w:val="0"/>
        <w:textAlignment w:val="auto"/>
        <w:rPr>
          <w:rFonts w:ascii="Times New Roman" w:hAnsi="Times New Roman"/>
          <w:b/>
          <w:szCs w:val="24"/>
        </w:rPr>
      </w:pPr>
      <w:r>
        <w:rPr>
          <w:rFonts w:ascii="Times New Roman" w:hAnsi="Times New Roman"/>
          <w:b/>
          <w:szCs w:val="24"/>
        </w:rPr>
        <w:t>Ability to schedule PDSCH on at least 2 cells with a single DCI</w:t>
      </w:r>
    </w:p>
    <w:p w14:paraId="415DB50E" w14:textId="22180BAA" w:rsidR="00A269BC" w:rsidRPr="00C97FC3" w:rsidRDefault="003C3C96" w:rsidP="0056783E">
      <w:pPr>
        <w:pStyle w:val="ListParagraph"/>
        <w:numPr>
          <w:ilvl w:val="2"/>
          <w:numId w:val="50"/>
        </w:numPr>
        <w:overflowPunct/>
        <w:autoSpaceDE/>
        <w:autoSpaceDN/>
        <w:adjustRightInd/>
        <w:spacing w:after="0" w:line="276" w:lineRule="auto"/>
        <w:ind w:left="1259"/>
        <w:contextualSpacing w:val="0"/>
        <w:textAlignment w:val="auto"/>
        <w:rPr>
          <w:rFonts w:ascii="Times New Roman" w:hAnsi="Times New Roman"/>
          <w:b/>
          <w:szCs w:val="24"/>
        </w:rPr>
      </w:pPr>
      <w:r>
        <w:rPr>
          <w:rFonts w:ascii="Times New Roman" w:hAnsi="Times New Roman"/>
          <w:b/>
          <w:szCs w:val="24"/>
        </w:rPr>
        <w:t xml:space="preserve">Ability to schedule PDSCH on </w:t>
      </w:r>
      <w:proofErr w:type="spellStart"/>
      <w:r>
        <w:rPr>
          <w:rFonts w:ascii="Times New Roman" w:hAnsi="Times New Roman"/>
          <w:b/>
          <w:szCs w:val="24"/>
        </w:rPr>
        <w:t>PCell</w:t>
      </w:r>
      <w:proofErr w:type="spellEnd"/>
      <w:r>
        <w:rPr>
          <w:rFonts w:ascii="Times New Roman" w:hAnsi="Times New Roman"/>
          <w:b/>
          <w:szCs w:val="24"/>
        </w:rPr>
        <w:t xml:space="preserve"> </w:t>
      </w:r>
      <w:r w:rsidR="00143D6E">
        <w:rPr>
          <w:rFonts w:ascii="Times New Roman" w:hAnsi="Times New Roman"/>
          <w:b/>
          <w:szCs w:val="24"/>
        </w:rPr>
        <w:t>with</w:t>
      </w:r>
      <w:r>
        <w:rPr>
          <w:rFonts w:ascii="Times New Roman" w:hAnsi="Times New Roman"/>
          <w:b/>
          <w:szCs w:val="24"/>
        </w:rPr>
        <w:t xml:space="preserve"> PDCCH on </w:t>
      </w:r>
      <w:proofErr w:type="spellStart"/>
      <w:r>
        <w:rPr>
          <w:rFonts w:ascii="Times New Roman" w:hAnsi="Times New Roman"/>
          <w:b/>
          <w:szCs w:val="24"/>
        </w:rPr>
        <w:t>SCell</w:t>
      </w:r>
      <w:proofErr w:type="spellEnd"/>
    </w:p>
    <w:p w14:paraId="6157D531" w14:textId="77777777" w:rsidR="00144AA2" w:rsidRDefault="00144AA2" w:rsidP="00941FD2">
      <w:pPr>
        <w:pStyle w:val="Heading1"/>
      </w:pPr>
      <w:r w:rsidRPr="003405B1">
        <w:lastRenderedPageBreak/>
        <w:t>References</w:t>
      </w:r>
    </w:p>
    <w:p w14:paraId="2206CE9B" w14:textId="51C62DA1" w:rsidR="00F833AD" w:rsidRPr="00491A48" w:rsidRDefault="005835AB" w:rsidP="008F4280">
      <w:pPr>
        <w:pStyle w:val="References"/>
        <w:numPr>
          <w:ilvl w:val="0"/>
          <w:numId w:val="49"/>
        </w:numPr>
        <w:rPr>
          <w:noProof/>
          <w:sz w:val="18"/>
        </w:rPr>
      </w:pPr>
      <w:r w:rsidRPr="005835AB">
        <w:rPr>
          <w:rFonts w:hint="eastAsia"/>
        </w:rPr>
        <w:t>RP-191762</w:t>
      </w:r>
      <w:r w:rsidR="00F84242">
        <w:t xml:space="preserve">, </w:t>
      </w:r>
      <w:r w:rsidR="005649CD">
        <w:t>“</w:t>
      </w:r>
      <w:r w:rsidR="00F84242" w:rsidRPr="00F84242">
        <w:t>Rel-17 work scope on NR MIMO and sub-3GHz FDD enhancements</w:t>
      </w:r>
      <w:r w:rsidR="005649CD">
        <w:t xml:space="preserve">”, </w:t>
      </w:r>
      <w:r w:rsidR="005649CD" w:rsidRPr="00234832">
        <w:rPr>
          <w:lang w:eastAsia="zh-CN"/>
        </w:rPr>
        <w:t xml:space="preserve">3GPP </w:t>
      </w:r>
      <w:r w:rsidR="005649CD">
        <w:rPr>
          <w:lang w:eastAsia="zh-CN"/>
        </w:rPr>
        <w:t>RAN#85, Newport Beach, USA, 16-20</w:t>
      </w:r>
      <w:r w:rsidR="005649CD" w:rsidRPr="00234832">
        <w:rPr>
          <w:lang w:eastAsia="zh-CN"/>
        </w:rPr>
        <w:t xml:space="preserve"> </w:t>
      </w:r>
      <w:r w:rsidR="00491A48">
        <w:rPr>
          <w:lang w:eastAsia="zh-CN"/>
        </w:rPr>
        <w:t>Sep</w:t>
      </w:r>
      <w:r w:rsidR="005649CD" w:rsidRPr="00234832">
        <w:rPr>
          <w:lang w:eastAsia="zh-CN"/>
        </w:rPr>
        <w:t xml:space="preserve"> 2019.</w:t>
      </w:r>
    </w:p>
    <w:p w14:paraId="543D5952" w14:textId="77D88177" w:rsidR="00412269" w:rsidRDefault="00491A48" w:rsidP="00491A48">
      <w:pPr>
        <w:pStyle w:val="References"/>
        <w:numPr>
          <w:ilvl w:val="0"/>
          <w:numId w:val="49"/>
        </w:numPr>
      </w:pPr>
      <w:r>
        <w:t>R1-1901482</w:t>
      </w:r>
      <w:r w:rsidRPr="00234832">
        <w:t>, “</w:t>
      </w:r>
      <w:r w:rsidRPr="00491A48">
        <w:t>Final Report of 3GPP TSG RAN WG1 #95 v1.0.0</w:t>
      </w:r>
      <w:r w:rsidRPr="00234832">
        <w:t>”, 3GPP RAN</w:t>
      </w:r>
      <w:r>
        <w:t>1#96</w:t>
      </w:r>
      <w:r w:rsidRPr="00234832">
        <w:t xml:space="preserve">, </w:t>
      </w:r>
      <w:r>
        <w:t>Athens, Greece</w:t>
      </w:r>
      <w:r w:rsidRPr="00234832">
        <w:t xml:space="preserve">, </w:t>
      </w:r>
      <w:r w:rsidRPr="00491A48">
        <w:t>25</w:t>
      </w:r>
      <w:r w:rsidRPr="00491A48">
        <w:rPr>
          <w:vertAlign w:val="superscript"/>
        </w:rPr>
        <w:t>th</w:t>
      </w:r>
      <w:r w:rsidRPr="00491A48">
        <w:t xml:space="preserve"> Feb</w:t>
      </w:r>
      <w:r>
        <w:t xml:space="preserve"> –</w:t>
      </w:r>
      <w:r w:rsidRPr="00491A48">
        <w:t>1</w:t>
      </w:r>
      <w:r w:rsidRPr="00491A48">
        <w:rPr>
          <w:vertAlign w:val="superscript"/>
        </w:rPr>
        <w:t>st</w:t>
      </w:r>
      <w:r>
        <w:t xml:space="preserve"> Mar</w:t>
      </w:r>
      <w:r w:rsidRPr="00491A48">
        <w:t xml:space="preserve"> </w:t>
      </w:r>
      <w:r w:rsidRPr="00234832">
        <w:t>2019.</w:t>
      </w:r>
    </w:p>
    <w:p w14:paraId="47EB9CEE" w14:textId="77777777" w:rsidR="00491A48" w:rsidRDefault="00491A48" w:rsidP="00491A48">
      <w:pPr>
        <w:pStyle w:val="References"/>
        <w:numPr>
          <w:ilvl w:val="0"/>
          <w:numId w:val="0"/>
        </w:numPr>
        <w:ind w:left="360"/>
      </w:pPr>
    </w:p>
    <w:p w14:paraId="50988B82" w14:textId="486350B3" w:rsidR="00412269" w:rsidRPr="006E5EEC" w:rsidRDefault="006E5EEC" w:rsidP="00412269">
      <w:pPr>
        <w:pStyle w:val="Reference"/>
        <w:numPr>
          <w:ilvl w:val="0"/>
          <w:numId w:val="0"/>
        </w:numPr>
        <w:ind w:left="567" w:hanging="567"/>
        <w:rPr>
          <w:sz w:val="36"/>
          <w:szCs w:val="36"/>
          <w:lang w:eastAsia="en-US"/>
        </w:rPr>
      </w:pPr>
      <w:r w:rsidRPr="006E5EEC">
        <w:rPr>
          <w:sz w:val="36"/>
          <w:szCs w:val="36"/>
          <w:lang w:eastAsia="en-US"/>
        </w:rPr>
        <w:t>Appendix.</w:t>
      </w:r>
    </w:p>
    <w:p w14:paraId="61095CBB" w14:textId="437C9C37" w:rsidR="00412269" w:rsidRDefault="00412269" w:rsidP="004A62CC">
      <w:pPr>
        <w:pStyle w:val="Caption"/>
        <w:spacing w:after="160"/>
        <w:rPr>
          <w:rFonts w:ascii="微软雅黑" w:eastAsia="微软雅黑" w:hAnsi="微软雅黑" w:cs="Arial"/>
        </w:rPr>
      </w:pPr>
      <w:bookmarkStart w:id="1" w:name="_Toc23510321"/>
      <w:r>
        <w:rPr>
          <w:rFonts w:hint="eastAsia"/>
        </w:rPr>
        <w:t>T</w:t>
      </w:r>
      <w:r>
        <w:t>able</w:t>
      </w:r>
      <w:r w:rsidR="00342FB4">
        <w:t xml:space="preserve"> 1</w:t>
      </w:r>
      <w:r>
        <w:t xml:space="preserve">. </w:t>
      </w:r>
      <w:r w:rsidR="00C8206F">
        <w:t xml:space="preserve">An example for </w:t>
      </w:r>
      <w:r w:rsidRPr="009C6066">
        <w:rPr>
          <w:rFonts w:hint="eastAsia"/>
        </w:rPr>
        <w:t>NR DCI format 1-1</w:t>
      </w:r>
      <w:bookmarkEnd w:id="1"/>
      <w:r>
        <w:rPr>
          <w:rFonts w:hint="eastAsia"/>
        </w:rPr>
        <w:t xml:space="preserve"> </w:t>
      </w:r>
      <w:r>
        <w:t>size</w:t>
      </w:r>
    </w:p>
    <w:tbl>
      <w:tblPr>
        <w:tblStyle w:val="TableGrid"/>
        <w:tblW w:w="0" w:type="auto"/>
        <w:jc w:val="center"/>
        <w:tblLook w:val="04A0" w:firstRow="1" w:lastRow="0" w:firstColumn="1" w:lastColumn="0" w:noHBand="0" w:noVBand="1"/>
      </w:tblPr>
      <w:tblGrid>
        <w:gridCol w:w="6232"/>
        <w:gridCol w:w="1843"/>
      </w:tblGrid>
      <w:tr w:rsidR="00412269" w14:paraId="1631BA7B" w14:textId="77777777" w:rsidTr="00491A48">
        <w:trPr>
          <w:jc w:val="center"/>
        </w:trPr>
        <w:tc>
          <w:tcPr>
            <w:tcW w:w="6232" w:type="dxa"/>
            <w:shd w:val="clear" w:color="auto" w:fill="BFBFBF" w:themeFill="background1" w:themeFillShade="BF"/>
          </w:tcPr>
          <w:p w14:paraId="3F3751D8" w14:textId="77777777" w:rsidR="00412269" w:rsidRPr="004A62CC" w:rsidRDefault="00412269" w:rsidP="00B540A2">
            <w:pPr>
              <w:jc w:val="center"/>
              <w:rPr>
                <w:b/>
                <w:sz w:val="18"/>
              </w:rPr>
            </w:pPr>
            <w:r w:rsidRPr="004A62CC">
              <w:rPr>
                <w:b/>
                <w:sz w:val="18"/>
              </w:rPr>
              <w:t>Information</w:t>
            </w:r>
          </w:p>
        </w:tc>
        <w:tc>
          <w:tcPr>
            <w:tcW w:w="1843" w:type="dxa"/>
            <w:shd w:val="clear" w:color="auto" w:fill="BFBFBF" w:themeFill="background1" w:themeFillShade="BF"/>
          </w:tcPr>
          <w:p w14:paraId="484B9220" w14:textId="77777777" w:rsidR="00412269" w:rsidRPr="004A62CC" w:rsidRDefault="00412269" w:rsidP="00B540A2">
            <w:pPr>
              <w:jc w:val="center"/>
              <w:rPr>
                <w:b/>
                <w:sz w:val="18"/>
              </w:rPr>
            </w:pPr>
            <w:r w:rsidRPr="004A62CC">
              <w:rPr>
                <w:b/>
                <w:sz w:val="18"/>
              </w:rPr>
              <w:t>Bits</w:t>
            </w:r>
          </w:p>
        </w:tc>
      </w:tr>
      <w:tr w:rsidR="00412269" w14:paraId="2E21AEBC" w14:textId="77777777" w:rsidTr="00491A48">
        <w:trPr>
          <w:jc w:val="center"/>
        </w:trPr>
        <w:tc>
          <w:tcPr>
            <w:tcW w:w="6232" w:type="dxa"/>
          </w:tcPr>
          <w:p w14:paraId="0CCBC6E5" w14:textId="77777777" w:rsidR="00412269" w:rsidRPr="004A62CC" w:rsidRDefault="00412269" w:rsidP="00B540A2">
            <w:pPr>
              <w:rPr>
                <w:sz w:val="18"/>
              </w:rPr>
            </w:pPr>
            <w:r w:rsidRPr="004A62CC">
              <w:rPr>
                <w:rFonts w:hint="eastAsia"/>
                <w:sz w:val="18"/>
              </w:rPr>
              <w:t>Identifier for DCI formats</w:t>
            </w:r>
          </w:p>
        </w:tc>
        <w:tc>
          <w:tcPr>
            <w:tcW w:w="1843" w:type="dxa"/>
          </w:tcPr>
          <w:p w14:paraId="0099FA3D" w14:textId="77777777" w:rsidR="00412269" w:rsidRPr="004A62CC" w:rsidRDefault="00412269" w:rsidP="00B540A2">
            <w:pPr>
              <w:rPr>
                <w:sz w:val="18"/>
              </w:rPr>
            </w:pPr>
            <w:r w:rsidRPr="004A62CC">
              <w:rPr>
                <w:sz w:val="18"/>
              </w:rPr>
              <w:t>1</w:t>
            </w:r>
          </w:p>
        </w:tc>
      </w:tr>
      <w:tr w:rsidR="00412269" w14:paraId="60B46DC2" w14:textId="77777777" w:rsidTr="00491A48">
        <w:trPr>
          <w:jc w:val="center"/>
        </w:trPr>
        <w:tc>
          <w:tcPr>
            <w:tcW w:w="6232" w:type="dxa"/>
          </w:tcPr>
          <w:p w14:paraId="5D391B18" w14:textId="77777777" w:rsidR="00412269" w:rsidRPr="004A62CC" w:rsidRDefault="00412269" w:rsidP="00B540A2">
            <w:pPr>
              <w:rPr>
                <w:sz w:val="18"/>
              </w:rPr>
            </w:pPr>
            <w:r w:rsidRPr="004A62CC">
              <w:rPr>
                <w:sz w:val="18"/>
              </w:rPr>
              <w:t>Carrier indicator</w:t>
            </w:r>
          </w:p>
        </w:tc>
        <w:tc>
          <w:tcPr>
            <w:tcW w:w="1843" w:type="dxa"/>
          </w:tcPr>
          <w:p w14:paraId="72D140EB" w14:textId="77777777" w:rsidR="00412269" w:rsidRPr="004A62CC" w:rsidRDefault="00412269" w:rsidP="00B540A2">
            <w:pPr>
              <w:rPr>
                <w:sz w:val="18"/>
              </w:rPr>
            </w:pPr>
            <w:r w:rsidRPr="004A62CC">
              <w:rPr>
                <w:rFonts w:hint="eastAsia"/>
                <w:sz w:val="18"/>
              </w:rPr>
              <w:t xml:space="preserve">0 </w:t>
            </w:r>
          </w:p>
        </w:tc>
      </w:tr>
      <w:tr w:rsidR="00412269" w14:paraId="793A5EE8" w14:textId="77777777" w:rsidTr="00491A48">
        <w:trPr>
          <w:jc w:val="center"/>
        </w:trPr>
        <w:tc>
          <w:tcPr>
            <w:tcW w:w="6232" w:type="dxa"/>
          </w:tcPr>
          <w:p w14:paraId="04E38505" w14:textId="77777777" w:rsidR="00412269" w:rsidRPr="004A62CC" w:rsidRDefault="00412269" w:rsidP="00B540A2">
            <w:pPr>
              <w:rPr>
                <w:sz w:val="18"/>
              </w:rPr>
            </w:pPr>
            <w:r w:rsidRPr="004A62CC">
              <w:rPr>
                <w:rFonts w:hint="eastAsia"/>
                <w:sz w:val="18"/>
              </w:rPr>
              <w:t>Bandwidth part indicator</w:t>
            </w:r>
          </w:p>
        </w:tc>
        <w:tc>
          <w:tcPr>
            <w:tcW w:w="1843" w:type="dxa"/>
          </w:tcPr>
          <w:p w14:paraId="2772C69E" w14:textId="77777777" w:rsidR="00412269" w:rsidRPr="004A62CC" w:rsidRDefault="00412269" w:rsidP="00B540A2">
            <w:pPr>
              <w:rPr>
                <w:sz w:val="18"/>
              </w:rPr>
            </w:pPr>
            <w:r w:rsidRPr="004A62CC">
              <w:rPr>
                <w:rFonts w:hint="eastAsia"/>
                <w:sz w:val="18"/>
              </w:rPr>
              <w:t xml:space="preserve">1 </w:t>
            </w:r>
          </w:p>
        </w:tc>
      </w:tr>
      <w:tr w:rsidR="00412269" w14:paraId="065AD15F" w14:textId="77777777" w:rsidTr="00491A48">
        <w:trPr>
          <w:jc w:val="center"/>
        </w:trPr>
        <w:tc>
          <w:tcPr>
            <w:tcW w:w="6232" w:type="dxa"/>
          </w:tcPr>
          <w:p w14:paraId="4F57DD5F" w14:textId="78851C33" w:rsidR="006E5EEC" w:rsidRPr="004A62CC" w:rsidRDefault="00412269" w:rsidP="00B540A2">
            <w:pPr>
              <w:rPr>
                <w:sz w:val="18"/>
              </w:rPr>
            </w:pPr>
            <w:r w:rsidRPr="004A62CC">
              <w:rPr>
                <w:rFonts w:hint="eastAsia"/>
                <w:sz w:val="18"/>
              </w:rPr>
              <w:t>Frequency domain resource assignment</w:t>
            </w:r>
            <w:r w:rsidR="00491A48">
              <w:rPr>
                <w:sz w:val="18"/>
              </w:rPr>
              <w:t xml:space="preserve"> </w:t>
            </w:r>
            <w:r w:rsidR="006E5EEC" w:rsidRPr="004A62CC">
              <w:rPr>
                <w:sz w:val="18"/>
              </w:rPr>
              <w:t>(106 RB</w:t>
            </w:r>
            <w:r w:rsidR="00663029" w:rsidRPr="004A62CC">
              <w:rPr>
                <w:sz w:val="18"/>
              </w:rPr>
              <w:t xml:space="preserve"> for 20MHz</w:t>
            </w:r>
            <w:r w:rsidR="006E5EEC" w:rsidRPr="004A62CC">
              <w:rPr>
                <w:sz w:val="18"/>
              </w:rPr>
              <w:t>, RBG size =8)</w:t>
            </w:r>
          </w:p>
        </w:tc>
        <w:tc>
          <w:tcPr>
            <w:tcW w:w="1843" w:type="dxa"/>
          </w:tcPr>
          <w:p w14:paraId="78D45F59" w14:textId="0751472B" w:rsidR="00412269" w:rsidRPr="004A62CC" w:rsidRDefault="00412269" w:rsidP="00B540A2">
            <w:pPr>
              <w:rPr>
                <w:sz w:val="18"/>
              </w:rPr>
            </w:pPr>
            <w:r w:rsidRPr="004A62CC">
              <w:rPr>
                <w:sz w:val="18"/>
              </w:rPr>
              <w:t>1</w:t>
            </w:r>
            <w:r w:rsidR="002C03A5" w:rsidRPr="004A62CC">
              <w:rPr>
                <w:sz w:val="18"/>
              </w:rPr>
              <w:t>4</w:t>
            </w:r>
          </w:p>
        </w:tc>
      </w:tr>
      <w:tr w:rsidR="00412269" w14:paraId="1CE030F5" w14:textId="77777777" w:rsidTr="00491A48">
        <w:trPr>
          <w:jc w:val="center"/>
        </w:trPr>
        <w:tc>
          <w:tcPr>
            <w:tcW w:w="6232" w:type="dxa"/>
          </w:tcPr>
          <w:p w14:paraId="651EDCB0" w14:textId="77777777" w:rsidR="00412269" w:rsidRPr="004A62CC" w:rsidRDefault="00412269" w:rsidP="00B540A2">
            <w:pPr>
              <w:rPr>
                <w:sz w:val="18"/>
              </w:rPr>
            </w:pPr>
            <w:r w:rsidRPr="004A62CC">
              <w:rPr>
                <w:rFonts w:hint="eastAsia"/>
                <w:sz w:val="18"/>
              </w:rPr>
              <w:t>Time domain resource assignment</w:t>
            </w:r>
          </w:p>
        </w:tc>
        <w:tc>
          <w:tcPr>
            <w:tcW w:w="1843" w:type="dxa"/>
          </w:tcPr>
          <w:p w14:paraId="6C052819" w14:textId="77777777" w:rsidR="00412269" w:rsidRPr="004A62CC" w:rsidRDefault="00412269" w:rsidP="00B540A2">
            <w:pPr>
              <w:rPr>
                <w:sz w:val="18"/>
              </w:rPr>
            </w:pPr>
            <w:r w:rsidRPr="004A62CC">
              <w:rPr>
                <w:sz w:val="18"/>
              </w:rPr>
              <w:t>4</w:t>
            </w:r>
            <w:r w:rsidRPr="004A62CC">
              <w:rPr>
                <w:rFonts w:hint="eastAsia"/>
                <w:sz w:val="18"/>
              </w:rPr>
              <w:t xml:space="preserve"> </w:t>
            </w:r>
            <w:r w:rsidRPr="004A62CC">
              <w:rPr>
                <w:sz w:val="18"/>
              </w:rPr>
              <w:t xml:space="preserve"> </w:t>
            </w:r>
          </w:p>
        </w:tc>
      </w:tr>
      <w:tr w:rsidR="00412269" w14:paraId="62DBB57E" w14:textId="77777777" w:rsidTr="00491A48">
        <w:trPr>
          <w:jc w:val="center"/>
        </w:trPr>
        <w:tc>
          <w:tcPr>
            <w:tcW w:w="6232" w:type="dxa"/>
          </w:tcPr>
          <w:p w14:paraId="5FC2F3CE" w14:textId="77777777" w:rsidR="00412269" w:rsidRPr="004A62CC" w:rsidRDefault="00412269" w:rsidP="00B540A2">
            <w:pPr>
              <w:rPr>
                <w:sz w:val="18"/>
              </w:rPr>
            </w:pPr>
            <w:r w:rsidRPr="004A62CC">
              <w:rPr>
                <w:rFonts w:hint="eastAsia"/>
                <w:sz w:val="18"/>
              </w:rPr>
              <w:t>VRB-to-PRB mapping</w:t>
            </w:r>
          </w:p>
        </w:tc>
        <w:tc>
          <w:tcPr>
            <w:tcW w:w="1843" w:type="dxa"/>
          </w:tcPr>
          <w:p w14:paraId="551006A4" w14:textId="6D3A7C54" w:rsidR="00412269" w:rsidRPr="004A62CC" w:rsidRDefault="00663029" w:rsidP="00B540A2">
            <w:pPr>
              <w:rPr>
                <w:sz w:val="18"/>
              </w:rPr>
            </w:pPr>
            <w:r w:rsidRPr="004A62CC">
              <w:rPr>
                <w:sz w:val="18"/>
              </w:rPr>
              <w:t>0</w:t>
            </w:r>
          </w:p>
        </w:tc>
      </w:tr>
      <w:tr w:rsidR="00412269" w14:paraId="6ED0E340" w14:textId="77777777" w:rsidTr="00491A48">
        <w:trPr>
          <w:jc w:val="center"/>
        </w:trPr>
        <w:tc>
          <w:tcPr>
            <w:tcW w:w="6232" w:type="dxa"/>
          </w:tcPr>
          <w:p w14:paraId="21CE7C8A" w14:textId="77777777" w:rsidR="00412269" w:rsidRPr="004A62CC" w:rsidRDefault="00412269" w:rsidP="00B540A2">
            <w:pPr>
              <w:rPr>
                <w:sz w:val="18"/>
              </w:rPr>
            </w:pPr>
            <w:r w:rsidRPr="004A62CC">
              <w:rPr>
                <w:rFonts w:hint="eastAsia"/>
                <w:sz w:val="18"/>
              </w:rPr>
              <w:t>PRB bundling size indicator</w:t>
            </w:r>
          </w:p>
        </w:tc>
        <w:tc>
          <w:tcPr>
            <w:tcW w:w="1843" w:type="dxa"/>
          </w:tcPr>
          <w:p w14:paraId="098C84D7" w14:textId="77777777" w:rsidR="00412269" w:rsidRPr="004A62CC" w:rsidRDefault="00412269" w:rsidP="00B540A2">
            <w:pPr>
              <w:rPr>
                <w:sz w:val="18"/>
              </w:rPr>
            </w:pPr>
            <w:r w:rsidRPr="004A62CC">
              <w:rPr>
                <w:rFonts w:hint="eastAsia"/>
                <w:sz w:val="18"/>
              </w:rPr>
              <w:t>1</w:t>
            </w:r>
          </w:p>
        </w:tc>
      </w:tr>
      <w:tr w:rsidR="00412269" w14:paraId="145B3B52" w14:textId="77777777" w:rsidTr="00491A48">
        <w:trPr>
          <w:jc w:val="center"/>
        </w:trPr>
        <w:tc>
          <w:tcPr>
            <w:tcW w:w="6232" w:type="dxa"/>
          </w:tcPr>
          <w:p w14:paraId="5EAB0276" w14:textId="77777777" w:rsidR="00412269" w:rsidRPr="004A62CC" w:rsidRDefault="00412269" w:rsidP="00B540A2">
            <w:pPr>
              <w:rPr>
                <w:sz w:val="18"/>
              </w:rPr>
            </w:pPr>
            <w:r w:rsidRPr="004A62CC">
              <w:rPr>
                <w:rFonts w:hint="eastAsia"/>
                <w:sz w:val="18"/>
              </w:rPr>
              <w:t>Rate matching indicator</w:t>
            </w:r>
          </w:p>
        </w:tc>
        <w:tc>
          <w:tcPr>
            <w:tcW w:w="1843" w:type="dxa"/>
          </w:tcPr>
          <w:p w14:paraId="618A5E94" w14:textId="77777777" w:rsidR="00412269" w:rsidRPr="004A62CC" w:rsidRDefault="00412269" w:rsidP="00B540A2">
            <w:pPr>
              <w:rPr>
                <w:sz w:val="18"/>
              </w:rPr>
            </w:pPr>
            <w:r w:rsidRPr="004A62CC">
              <w:rPr>
                <w:rFonts w:hint="eastAsia"/>
                <w:sz w:val="18"/>
              </w:rPr>
              <w:t>1</w:t>
            </w:r>
          </w:p>
        </w:tc>
      </w:tr>
      <w:tr w:rsidR="00412269" w14:paraId="2DE48CBC" w14:textId="77777777" w:rsidTr="00491A48">
        <w:trPr>
          <w:jc w:val="center"/>
        </w:trPr>
        <w:tc>
          <w:tcPr>
            <w:tcW w:w="6232" w:type="dxa"/>
          </w:tcPr>
          <w:p w14:paraId="0AFF6D51" w14:textId="77777777" w:rsidR="00412269" w:rsidRPr="004A62CC" w:rsidRDefault="00412269" w:rsidP="00B540A2">
            <w:pPr>
              <w:rPr>
                <w:sz w:val="18"/>
              </w:rPr>
            </w:pPr>
            <w:r w:rsidRPr="004A62CC">
              <w:rPr>
                <w:rFonts w:hint="eastAsia"/>
                <w:sz w:val="18"/>
              </w:rPr>
              <w:t>ZP CSI-RS trigger</w:t>
            </w:r>
          </w:p>
        </w:tc>
        <w:tc>
          <w:tcPr>
            <w:tcW w:w="1843" w:type="dxa"/>
          </w:tcPr>
          <w:p w14:paraId="04117C92" w14:textId="77777777" w:rsidR="00412269" w:rsidRPr="004A62CC" w:rsidRDefault="00412269" w:rsidP="00B540A2">
            <w:pPr>
              <w:rPr>
                <w:sz w:val="18"/>
              </w:rPr>
            </w:pPr>
            <w:r w:rsidRPr="004A62CC">
              <w:rPr>
                <w:rFonts w:hint="eastAsia"/>
                <w:sz w:val="18"/>
              </w:rPr>
              <w:t>1</w:t>
            </w:r>
          </w:p>
        </w:tc>
      </w:tr>
      <w:tr w:rsidR="00412269" w14:paraId="46B6D561" w14:textId="77777777" w:rsidTr="00491A48">
        <w:trPr>
          <w:jc w:val="center"/>
        </w:trPr>
        <w:tc>
          <w:tcPr>
            <w:tcW w:w="8075" w:type="dxa"/>
            <w:gridSpan w:val="2"/>
          </w:tcPr>
          <w:p w14:paraId="33F7DBC5" w14:textId="77777777" w:rsidR="00412269" w:rsidRPr="004A62CC" w:rsidRDefault="00412269" w:rsidP="00B540A2">
            <w:pPr>
              <w:rPr>
                <w:sz w:val="18"/>
              </w:rPr>
            </w:pPr>
            <w:r w:rsidRPr="004A62CC">
              <w:rPr>
                <w:sz w:val="18"/>
              </w:rPr>
              <w:t>For transport block 1:</w:t>
            </w:r>
          </w:p>
        </w:tc>
      </w:tr>
      <w:tr w:rsidR="00412269" w14:paraId="34287FFC" w14:textId="77777777" w:rsidTr="00491A48">
        <w:trPr>
          <w:jc w:val="center"/>
        </w:trPr>
        <w:tc>
          <w:tcPr>
            <w:tcW w:w="6232" w:type="dxa"/>
          </w:tcPr>
          <w:p w14:paraId="6F24C8A5" w14:textId="77777777" w:rsidR="00412269" w:rsidRPr="004A62CC" w:rsidRDefault="00412269" w:rsidP="00B540A2">
            <w:pPr>
              <w:rPr>
                <w:sz w:val="18"/>
              </w:rPr>
            </w:pPr>
            <w:r w:rsidRPr="004A62CC">
              <w:rPr>
                <w:sz w:val="18"/>
              </w:rPr>
              <w:t>Modulation and coding scheme</w:t>
            </w:r>
          </w:p>
        </w:tc>
        <w:tc>
          <w:tcPr>
            <w:tcW w:w="1843" w:type="dxa"/>
          </w:tcPr>
          <w:p w14:paraId="71325D0C" w14:textId="77777777" w:rsidR="00412269" w:rsidRPr="004A62CC" w:rsidRDefault="00412269" w:rsidP="00B540A2">
            <w:pPr>
              <w:rPr>
                <w:sz w:val="18"/>
              </w:rPr>
            </w:pPr>
            <w:r w:rsidRPr="004A62CC">
              <w:rPr>
                <w:sz w:val="18"/>
              </w:rPr>
              <w:t>5</w:t>
            </w:r>
          </w:p>
        </w:tc>
      </w:tr>
      <w:tr w:rsidR="00412269" w14:paraId="4DECD6E8" w14:textId="77777777" w:rsidTr="00491A48">
        <w:trPr>
          <w:jc w:val="center"/>
        </w:trPr>
        <w:tc>
          <w:tcPr>
            <w:tcW w:w="6232" w:type="dxa"/>
          </w:tcPr>
          <w:p w14:paraId="10C2AC4F" w14:textId="77777777" w:rsidR="00412269" w:rsidRPr="004A62CC" w:rsidRDefault="00412269" w:rsidP="00B540A2">
            <w:pPr>
              <w:rPr>
                <w:sz w:val="18"/>
              </w:rPr>
            </w:pPr>
            <w:r w:rsidRPr="004A62CC">
              <w:rPr>
                <w:sz w:val="18"/>
              </w:rPr>
              <w:t>New data indicator</w:t>
            </w:r>
          </w:p>
        </w:tc>
        <w:tc>
          <w:tcPr>
            <w:tcW w:w="1843" w:type="dxa"/>
          </w:tcPr>
          <w:p w14:paraId="17590A4C" w14:textId="77777777" w:rsidR="00412269" w:rsidRPr="004A62CC" w:rsidRDefault="00412269" w:rsidP="00B540A2">
            <w:pPr>
              <w:rPr>
                <w:sz w:val="18"/>
              </w:rPr>
            </w:pPr>
            <w:r w:rsidRPr="004A62CC">
              <w:rPr>
                <w:sz w:val="18"/>
              </w:rPr>
              <w:t>1</w:t>
            </w:r>
          </w:p>
        </w:tc>
      </w:tr>
      <w:tr w:rsidR="00412269" w14:paraId="022CB9BC" w14:textId="77777777" w:rsidTr="00491A48">
        <w:trPr>
          <w:jc w:val="center"/>
        </w:trPr>
        <w:tc>
          <w:tcPr>
            <w:tcW w:w="6232" w:type="dxa"/>
          </w:tcPr>
          <w:p w14:paraId="11FD5F32" w14:textId="77777777" w:rsidR="00412269" w:rsidRPr="004A62CC" w:rsidRDefault="00412269" w:rsidP="00B540A2">
            <w:pPr>
              <w:rPr>
                <w:sz w:val="18"/>
              </w:rPr>
            </w:pPr>
            <w:r w:rsidRPr="004A62CC">
              <w:rPr>
                <w:sz w:val="18"/>
              </w:rPr>
              <w:t>Redundancy version</w:t>
            </w:r>
          </w:p>
        </w:tc>
        <w:tc>
          <w:tcPr>
            <w:tcW w:w="1843" w:type="dxa"/>
          </w:tcPr>
          <w:p w14:paraId="4039BDA2" w14:textId="77777777" w:rsidR="00412269" w:rsidRPr="004A62CC" w:rsidRDefault="00412269" w:rsidP="00B540A2">
            <w:pPr>
              <w:rPr>
                <w:sz w:val="18"/>
              </w:rPr>
            </w:pPr>
            <w:r w:rsidRPr="004A62CC">
              <w:rPr>
                <w:sz w:val="18"/>
              </w:rPr>
              <w:t>2</w:t>
            </w:r>
          </w:p>
        </w:tc>
      </w:tr>
      <w:tr w:rsidR="00412269" w14:paraId="4B5F7B23" w14:textId="77777777" w:rsidTr="00491A48">
        <w:trPr>
          <w:jc w:val="center"/>
        </w:trPr>
        <w:tc>
          <w:tcPr>
            <w:tcW w:w="8075" w:type="dxa"/>
            <w:gridSpan w:val="2"/>
          </w:tcPr>
          <w:p w14:paraId="08DE1886" w14:textId="77777777" w:rsidR="00412269" w:rsidRPr="004A62CC" w:rsidRDefault="00412269" w:rsidP="00B540A2">
            <w:pPr>
              <w:rPr>
                <w:sz w:val="18"/>
              </w:rPr>
            </w:pPr>
            <w:r w:rsidRPr="004A62CC">
              <w:rPr>
                <w:sz w:val="18"/>
              </w:rPr>
              <w:t xml:space="preserve">For transport block 2 (only present if </w:t>
            </w:r>
            <w:proofErr w:type="spellStart"/>
            <w:r w:rsidRPr="004A62CC">
              <w:rPr>
                <w:rFonts w:eastAsia="Times New Roman"/>
                <w:i/>
                <w:sz w:val="18"/>
                <w:lang w:eastAsia="ja-JP"/>
              </w:rPr>
              <w:t>maxNrofCodeWordsScheduledByDCI</w:t>
            </w:r>
            <w:proofErr w:type="spellEnd"/>
            <w:r w:rsidRPr="004A62CC">
              <w:rPr>
                <w:sz w:val="18"/>
              </w:rPr>
              <w:t xml:space="preserve"> equals 2):</w:t>
            </w:r>
          </w:p>
        </w:tc>
      </w:tr>
      <w:tr w:rsidR="00412269" w14:paraId="3FD01A0B" w14:textId="77777777" w:rsidTr="00491A48">
        <w:trPr>
          <w:jc w:val="center"/>
        </w:trPr>
        <w:tc>
          <w:tcPr>
            <w:tcW w:w="6232" w:type="dxa"/>
          </w:tcPr>
          <w:p w14:paraId="2903CFDD" w14:textId="77777777" w:rsidR="00412269" w:rsidRPr="004A62CC" w:rsidRDefault="00412269" w:rsidP="00B540A2">
            <w:pPr>
              <w:rPr>
                <w:sz w:val="18"/>
              </w:rPr>
            </w:pPr>
            <w:r w:rsidRPr="004A62CC">
              <w:rPr>
                <w:sz w:val="18"/>
              </w:rPr>
              <w:t>Modulation and coding scheme</w:t>
            </w:r>
          </w:p>
        </w:tc>
        <w:tc>
          <w:tcPr>
            <w:tcW w:w="1843" w:type="dxa"/>
          </w:tcPr>
          <w:p w14:paraId="124A19E5" w14:textId="77777777" w:rsidR="00412269" w:rsidRPr="004A62CC" w:rsidRDefault="00412269" w:rsidP="00B540A2">
            <w:pPr>
              <w:rPr>
                <w:sz w:val="18"/>
              </w:rPr>
            </w:pPr>
            <w:r w:rsidRPr="004A62CC">
              <w:rPr>
                <w:sz w:val="18"/>
              </w:rPr>
              <w:t>5</w:t>
            </w:r>
          </w:p>
        </w:tc>
      </w:tr>
      <w:tr w:rsidR="00412269" w14:paraId="65B9E4F4" w14:textId="77777777" w:rsidTr="00491A48">
        <w:trPr>
          <w:jc w:val="center"/>
        </w:trPr>
        <w:tc>
          <w:tcPr>
            <w:tcW w:w="6232" w:type="dxa"/>
          </w:tcPr>
          <w:p w14:paraId="2D83E626" w14:textId="77777777" w:rsidR="00412269" w:rsidRPr="004A62CC" w:rsidRDefault="00412269" w:rsidP="00B540A2">
            <w:pPr>
              <w:rPr>
                <w:sz w:val="18"/>
              </w:rPr>
            </w:pPr>
            <w:r w:rsidRPr="004A62CC">
              <w:rPr>
                <w:sz w:val="18"/>
              </w:rPr>
              <w:t>New data indicator</w:t>
            </w:r>
          </w:p>
        </w:tc>
        <w:tc>
          <w:tcPr>
            <w:tcW w:w="1843" w:type="dxa"/>
          </w:tcPr>
          <w:p w14:paraId="38210497" w14:textId="77777777" w:rsidR="00412269" w:rsidRPr="004A62CC" w:rsidRDefault="00412269" w:rsidP="00B540A2">
            <w:pPr>
              <w:rPr>
                <w:sz w:val="18"/>
              </w:rPr>
            </w:pPr>
            <w:r w:rsidRPr="004A62CC">
              <w:rPr>
                <w:sz w:val="18"/>
              </w:rPr>
              <w:t>1</w:t>
            </w:r>
          </w:p>
        </w:tc>
      </w:tr>
      <w:tr w:rsidR="00412269" w14:paraId="7D3F3AB7" w14:textId="77777777" w:rsidTr="00491A48">
        <w:trPr>
          <w:jc w:val="center"/>
        </w:trPr>
        <w:tc>
          <w:tcPr>
            <w:tcW w:w="6232" w:type="dxa"/>
          </w:tcPr>
          <w:p w14:paraId="27914526" w14:textId="77777777" w:rsidR="00412269" w:rsidRPr="004A62CC" w:rsidRDefault="00412269" w:rsidP="00B540A2">
            <w:pPr>
              <w:rPr>
                <w:sz w:val="18"/>
              </w:rPr>
            </w:pPr>
            <w:r w:rsidRPr="004A62CC">
              <w:rPr>
                <w:sz w:val="18"/>
              </w:rPr>
              <w:t>Redundancy version</w:t>
            </w:r>
          </w:p>
        </w:tc>
        <w:tc>
          <w:tcPr>
            <w:tcW w:w="1843" w:type="dxa"/>
          </w:tcPr>
          <w:p w14:paraId="0B169AD9" w14:textId="77777777" w:rsidR="00412269" w:rsidRPr="004A62CC" w:rsidRDefault="00412269" w:rsidP="00B540A2">
            <w:pPr>
              <w:rPr>
                <w:sz w:val="18"/>
              </w:rPr>
            </w:pPr>
            <w:r w:rsidRPr="004A62CC">
              <w:rPr>
                <w:sz w:val="18"/>
              </w:rPr>
              <w:t>2</w:t>
            </w:r>
          </w:p>
        </w:tc>
      </w:tr>
      <w:tr w:rsidR="00412269" w14:paraId="06DF4380" w14:textId="77777777" w:rsidTr="00491A48">
        <w:trPr>
          <w:jc w:val="center"/>
        </w:trPr>
        <w:tc>
          <w:tcPr>
            <w:tcW w:w="6232" w:type="dxa"/>
          </w:tcPr>
          <w:p w14:paraId="7DBC6E0C" w14:textId="77777777" w:rsidR="00412269" w:rsidRPr="004A62CC" w:rsidRDefault="00412269" w:rsidP="00B540A2">
            <w:pPr>
              <w:rPr>
                <w:sz w:val="18"/>
              </w:rPr>
            </w:pPr>
            <w:r w:rsidRPr="004A62CC">
              <w:rPr>
                <w:sz w:val="18"/>
              </w:rPr>
              <w:t>HARQ process number</w:t>
            </w:r>
          </w:p>
        </w:tc>
        <w:tc>
          <w:tcPr>
            <w:tcW w:w="1843" w:type="dxa"/>
          </w:tcPr>
          <w:p w14:paraId="40D6AE08" w14:textId="77777777" w:rsidR="00412269" w:rsidRPr="004A62CC" w:rsidRDefault="00412269" w:rsidP="00B540A2">
            <w:pPr>
              <w:rPr>
                <w:sz w:val="18"/>
              </w:rPr>
            </w:pPr>
            <w:r w:rsidRPr="004A62CC">
              <w:rPr>
                <w:sz w:val="18"/>
              </w:rPr>
              <w:t>4</w:t>
            </w:r>
          </w:p>
        </w:tc>
      </w:tr>
      <w:tr w:rsidR="00412269" w14:paraId="7D16E35B" w14:textId="77777777" w:rsidTr="00491A48">
        <w:trPr>
          <w:jc w:val="center"/>
        </w:trPr>
        <w:tc>
          <w:tcPr>
            <w:tcW w:w="6232" w:type="dxa"/>
          </w:tcPr>
          <w:p w14:paraId="3E2D29C4" w14:textId="77777777" w:rsidR="00412269" w:rsidRPr="004A62CC" w:rsidRDefault="00412269" w:rsidP="00B540A2">
            <w:pPr>
              <w:rPr>
                <w:sz w:val="18"/>
              </w:rPr>
            </w:pPr>
            <w:r w:rsidRPr="004A62CC">
              <w:rPr>
                <w:sz w:val="18"/>
              </w:rPr>
              <w:t>TPC command for scheduled PU</w:t>
            </w:r>
            <w:r w:rsidRPr="004A62CC">
              <w:rPr>
                <w:rFonts w:hint="eastAsia"/>
                <w:sz w:val="18"/>
              </w:rPr>
              <w:t>C</w:t>
            </w:r>
            <w:r w:rsidRPr="004A62CC">
              <w:rPr>
                <w:sz w:val="18"/>
              </w:rPr>
              <w:t>CH</w:t>
            </w:r>
          </w:p>
        </w:tc>
        <w:tc>
          <w:tcPr>
            <w:tcW w:w="1843" w:type="dxa"/>
          </w:tcPr>
          <w:p w14:paraId="65A81ABE" w14:textId="77777777" w:rsidR="00412269" w:rsidRPr="004A62CC" w:rsidRDefault="00412269" w:rsidP="00B540A2">
            <w:pPr>
              <w:rPr>
                <w:sz w:val="18"/>
              </w:rPr>
            </w:pPr>
            <w:r w:rsidRPr="004A62CC">
              <w:rPr>
                <w:sz w:val="18"/>
              </w:rPr>
              <w:t>2</w:t>
            </w:r>
          </w:p>
        </w:tc>
      </w:tr>
      <w:tr w:rsidR="00412269" w14:paraId="6DE91E63" w14:textId="77777777" w:rsidTr="00491A48">
        <w:trPr>
          <w:jc w:val="center"/>
        </w:trPr>
        <w:tc>
          <w:tcPr>
            <w:tcW w:w="6232" w:type="dxa"/>
          </w:tcPr>
          <w:p w14:paraId="721D0F52" w14:textId="77777777" w:rsidR="00412269" w:rsidRPr="004A62CC" w:rsidRDefault="00412269" w:rsidP="00B540A2">
            <w:pPr>
              <w:rPr>
                <w:sz w:val="18"/>
              </w:rPr>
            </w:pPr>
            <w:r w:rsidRPr="004A62CC">
              <w:rPr>
                <w:rFonts w:hint="eastAsia"/>
                <w:sz w:val="18"/>
              </w:rPr>
              <w:t>PUCCH resource indicator</w:t>
            </w:r>
          </w:p>
        </w:tc>
        <w:tc>
          <w:tcPr>
            <w:tcW w:w="1843" w:type="dxa"/>
          </w:tcPr>
          <w:p w14:paraId="5FE1A0F7" w14:textId="77777777" w:rsidR="00412269" w:rsidRPr="004A62CC" w:rsidRDefault="00412269" w:rsidP="00B540A2">
            <w:pPr>
              <w:rPr>
                <w:sz w:val="18"/>
              </w:rPr>
            </w:pPr>
            <w:r w:rsidRPr="004A62CC">
              <w:rPr>
                <w:sz w:val="18"/>
              </w:rPr>
              <w:t>3</w:t>
            </w:r>
          </w:p>
        </w:tc>
      </w:tr>
      <w:tr w:rsidR="00412269" w14:paraId="7DBB7843" w14:textId="77777777" w:rsidTr="00491A48">
        <w:trPr>
          <w:jc w:val="center"/>
        </w:trPr>
        <w:tc>
          <w:tcPr>
            <w:tcW w:w="6232" w:type="dxa"/>
          </w:tcPr>
          <w:p w14:paraId="233FA311" w14:textId="77777777" w:rsidR="00412269" w:rsidRPr="004A62CC" w:rsidRDefault="00412269" w:rsidP="00B540A2">
            <w:pPr>
              <w:rPr>
                <w:sz w:val="18"/>
              </w:rPr>
            </w:pPr>
            <w:r w:rsidRPr="004A62CC">
              <w:rPr>
                <w:rFonts w:hint="eastAsia"/>
                <w:sz w:val="18"/>
              </w:rPr>
              <w:t>PDSCH-to-</w:t>
            </w:r>
            <w:proofErr w:type="spellStart"/>
            <w:r w:rsidRPr="004A62CC">
              <w:rPr>
                <w:rFonts w:hint="eastAsia"/>
                <w:sz w:val="18"/>
              </w:rPr>
              <w:t>HARQ_feedback</w:t>
            </w:r>
            <w:proofErr w:type="spellEnd"/>
            <w:r w:rsidRPr="004A62CC">
              <w:rPr>
                <w:rFonts w:hint="eastAsia"/>
                <w:sz w:val="18"/>
              </w:rPr>
              <w:t xml:space="preserve"> timing indicator</w:t>
            </w:r>
          </w:p>
        </w:tc>
        <w:tc>
          <w:tcPr>
            <w:tcW w:w="1843" w:type="dxa"/>
          </w:tcPr>
          <w:p w14:paraId="5B5F9A9E" w14:textId="77777777" w:rsidR="00412269" w:rsidRPr="004A62CC" w:rsidRDefault="00412269" w:rsidP="00B540A2">
            <w:pPr>
              <w:rPr>
                <w:sz w:val="18"/>
              </w:rPr>
            </w:pPr>
            <w:r w:rsidRPr="004A62CC">
              <w:rPr>
                <w:rFonts w:hint="eastAsia"/>
                <w:sz w:val="18"/>
              </w:rPr>
              <w:t>2</w:t>
            </w:r>
          </w:p>
        </w:tc>
      </w:tr>
      <w:tr w:rsidR="00412269" w14:paraId="5FF80F06" w14:textId="77777777" w:rsidTr="00491A48">
        <w:trPr>
          <w:jc w:val="center"/>
        </w:trPr>
        <w:tc>
          <w:tcPr>
            <w:tcW w:w="6232" w:type="dxa"/>
          </w:tcPr>
          <w:p w14:paraId="1C018C84" w14:textId="77777777" w:rsidR="00412269" w:rsidRPr="004A62CC" w:rsidRDefault="00412269" w:rsidP="00B540A2">
            <w:pPr>
              <w:rPr>
                <w:sz w:val="18"/>
              </w:rPr>
            </w:pPr>
            <w:r w:rsidRPr="004A62CC">
              <w:rPr>
                <w:sz w:val="18"/>
              </w:rPr>
              <w:t>Antenna port(s)</w:t>
            </w:r>
          </w:p>
        </w:tc>
        <w:tc>
          <w:tcPr>
            <w:tcW w:w="1843" w:type="dxa"/>
          </w:tcPr>
          <w:p w14:paraId="02786645" w14:textId="77777777" w:rsidR="00412269" w:rsidRPr="004A62CC" w:rsidRDefault="00412269" w:rsidP="00B540A2">
            <w:pPr>
              <w:rPr>
                <w:sz w:val="18"/>
              </w:rPr>
            </w:pPr>
            <w:r w:rsidRPr="004A62CC">
              <w:rPr>
                <w:rFonts w:hint="eastAsia"/>
                <w:sz w:val="18"/>
              </w:rPr>
              <w:t>4</w:t>
            </w:r>
          </w:p>
        </w:tc>
      </w:tr>
      <w:tr w:rsidR="00412269" w14:paraId="2859FCDD" w14:textId="77777777" w:rsidTr="00491A48">
        <w:trPr>
          <w:jc w:val="center"/>
        </w:trPr>
        <w:tc>
          <w:tcPr>
            <w:tcW w:w="6232" w:type="dxa"/>
          </w:tcPr>
          <w:p w14:paraId="4A654E98" w14:textId="77777777" w:rsidR="00412269" w:rsidRPr="004A62CC" w:rsidRDefault="00412269" w:rsidP="00B540A2">
            <w:pPr>
              <w:rPr>
                <w:sz w:val="18"/>
              </w:rPr>
            </w:pPr>
            <w:r w:rsidRPr="004A62CC">
              <w:rPr>
                <w:rFonts w:hint="eastAsia"/>
                <w:sz w:val="18"/>
              </w:rPr>
              <w:t>Transmission configuration indication</w:t>
            </w:r>
          </w:p>
        </w:tc>
        <w:tc>
          <w:tcPr>
            <w:tcW w:w="1843" w:type="dxa"/>
          </w:tcPr>
          <w:p w14:paraId="2B84FFE7" w14:textId="77777777" w:rsidR="00412269" w:rsidRPr="004A62CC" w:rsidRDefault="00412269" w:rsidP="00B540A2">
            <w:pPr>
              <w:rPr>
                <w:sz w:val="18"/>
              </w:rPr>
            </w:pPr>
            <w:r w:rsidRPr="004A62CC">
              <w:rPr>
                <w:sz w:val="18"/>
              </w:rPr>
              <w:t>0</w:t>
            </w:r>
          </w:p>
        </w:tc>
      </w:tr>
      <w:tr w:rsidR="00412269" w14:paraId="06CC507D" w14:textId="77777777" w:rsidTr="00491A48">
        <w:trPr>
          <w:jc w:val="center"/>
        </w:trPr>
        <w:tc>
          <w:tcPr>
            <w:tcW w:w="6232" w:type="dxa"/>
          </w:tcPr>
          <w:p w14:paraId="1F4669C0" w14:textId="77777777" w:rsidR="00412269" w:rsidRPr="004A62CC" w:rsidRDefault="00412269" w:rsidP="00B540A2">
            <w:pPr>
              <w:rPr>
                <w:sz w:val="18"/>
              </w:rPr>
            </w:pPr>
            <w:r w:rsidRPr="004A62CC">
              <w:rPr>
                <w:rFonts w:hint="eastAsia"/>
                <w:sz w:val="18"/>
              </w:rPr>
              <w:t>SRS request</w:t>
            </w:r>
          </w:p>
        </w:tc>
        <w:tc>
          <w:tcPr>
            <w:tcW w:w="1843" w:type="dxa"/>
          </w:tcPr>
          <w:p w14:paraId="6B53BED1" w14:textId="77777777" w:rsidR="00412269" w:rsidRPr="004A62CC" w:rsidRDefault="00412269" w:rsidP="00B540A2">
            <w:pPr>
              <w:rPr>
                <w:sz w:val="18"/>
              </w:rPr>
            </w:pPr>
            <w:r w:rsidRPr="004A62CC">
              <w:rPr>
                <w:sz w:val="18"/>
              </w:rPr>
              <w:t>2</w:t>
            </w:r>
          </w:p>
        </w:tc>
      </w:tr>
      <w:tr w:rsidR="00412269" w14:paraId="6A163173" w14:textId="77777777" w:rsidTr="00491A48">
        <w:trPr>
          <w:jc w:val="center"/>
        </w:trPr>
        <w:tc>
          <w:tcPr>
            <w:tcW w:w="6232" w:type="dxa"/>
          </w:tcPr>
          <w:p w14:paraId="673888ED" w14:textId="77777777" w:rsidR="00412269" w:rsidRPr="004A62CC" w:rsidRDefault="00412269" w:rsidP="00B540A2">
            <w:pPr>
              <w:rPr>
                <w:sz w:val="18"/>
              </w:rPr>
            </w:pPr>
            <w:r w:rsidRPr="004A62CC">
              <w:rPr>
                <w:rFonts w:hint="eastAsia"/>
                <w:sz w:val="18"/>
              </w:rPr>
              <w:t>CBG transmission information (CBGTI)</w:t>
            </w:r>
          </w:p>
        </w:tc>
        <w:tc>
          <w:tcPr>
            <w:tcW w:w="1843" w:type="dxa"/>
          </w:tcPr>
          <w:p w14:paraId="7EE9CACE" w14:textId="77777777" w:rsidR="00412269" w:rsidRPr="004A62CC" w:rsidRDefault="00412269" w:rsidP="00B540A2">
            <w:pPr>
              <w:rPr>
                <w:sz w:val="18"/>
              </w:rPr>
            </w:pPr>
            <w:r w:rsidRPr="004A62CC">
              <w:rPr>
                <w:rFonts w:hint="eastAsia"/>
                <w:sz w:val="18"/>
              </w:rPr>
              <w:t>0</w:t>
            </w:r>
          </w:p>
        </w:tc>
      </w:tr>
      <w:tr w:rsidR="00412269" w14:paraId="1EEF90AA" w14:textId="77777777" w:rsidTr="00491A48">
        <w:trPr>
          <w:jc w:val="center"/>
        </w:trPr>
        <w:tc>
          <w:tcPr>
            <w:tcW w:w="6232" w:type="dxa"/>
          </w:tcPr>
          <w:p w14:paraId="70740947" w14:textId="77777777" w:rsidR="00412269" w:rsidRPr="004A62CC" w:rsidRDefault="00412269" w:rsidP="00B540A2">
            <w:pPr>
              <w:rPr>
                <w:sz w:val="18"/>
              </w:rPr>
            </w:pPr>
            <w:r w:rsidRPr="004A62CC">
              <w:rPr>
                <w:rFonts w:hint="eastAsia"/>
                <w:sz w:val="18"/>
              </w:rPr>
              <w:t xml:space="preserve">CBG </w:t>
            </w:r>
            <w:r w:rsidRPr="004A62CC">
              <w:rPr>
                <w:rFonts w:eastAsia="MS Mincho" w:hint="eastAsia"/>
                <w:sz w:val="18"/>
                <w:lang w:eastAsia="ja-JP"/>
              </w:rPr>
              <w:t>flushing out information</w:t>
            </w:r>
            <w:r w:rsidRPr="004A62CC">
              <w:rPr>
                <w:rFonts w:hint="eastAsia"/>
                <w:sz w:val="18"/>
              </w:rPr>
              <w:t xml:space="preserve"> (CBGFI)</w:t>
            </w:r>
          </w:p>
        </w:tc>
        <w:tc>
          <w:tcPr>
            <w:tcW w:w="1843" w:type="dxa"/>
          </w:tcPr>
          <w:p w14:paraId="2E94D657" w14:textId="77777777" w:rsidR="00412269" w:rsidRPr="004A62CC" w:rsidRDefault="00412269" w:rsidP="00B540A2">
            <w:pPr>
              <w:rPr>
                <w:sz w:val="18"/>
              </w:rPr>
            </w:pPr>
            <w:r w:rsidRPr="004A62CC">
              <w:rPr>
                <w:rFonts w:hint="eastAsia"/>
                <w:sz w:val="18"/>
              </w:rPr>
              <w:t xml:space="preserve">0 </w:t>
            </w:r>
          </w:p>
        </w:tc>
      </w:tr>
      <w:tr w:rsidR="00412269" w14:paraId="2D2C4569" w14:textId="77777777" w:rsidTr="00491A48">
        <w:trPr>
          <w:jc w:val="center"/>
        </w:trPr>
        <w:tc>
          <w:tcPr>
            <w:tcW w:w="6232" w:type="dxa"/>
          </w:tcPr>
          <w:p w14:paraId="678D810E" w14:textId="77777777" w:rsidR="00412269" w:rsidRPr="004A62CC" w:rsidRDefault="00412269" w:rsidP="00B540A2">
            <w:pPr>
              <w:rPr>
                <w:sz w:val="18"/>
              </w:rPr>
            </w:pPr>
            <w:r w:rsidRPr="004A62CC">
              <w:rPr>
                <w:rFonts w:hint="eastAsia"/>
                <w:sz w:val="18"/>
              </w:rPr>
              <w:t>DMRS sequence initialization</w:t>
            </w:r>
          </w:p>
        </w:tc>
        <w:tc>
          <w:tcPr>
            <w:tcW w:w="1843" w:type="dxa"/>
          </w:tcPr>
          <w:p w14:paraId="3A9CD1E0" w14:textId="77777777" w:rsidR="00412269" w:rsidRPr="004A62CC" w:rsidRDefault="00412269" w:rsidP="00B540A2">
            <w:pPr>
              <w:rPr>
                <w:sz w:val="18"/>
              </w:rPr>
            </w:pPr>
            <w:r w:rsidRPr="004A62CC">
              <w:rPr>
                <w:sz w:val="18"/>
              </w:rPr>
              <w:t>1</w:t>
            </w:r>
          </w:p>
        </w:tc>
      </w:tr>
      <w:tr w:rsidR="00412269" w14:paraId="6A7849C7" w14:textId="77777777" w:rsidTr="00491A48">
        <w:trPr>
          <w:jc w:val="center"/>
        </w:trPr>
        <w:tc>
          <w:tcPr>
            <w:tcW w:w="6232" w:type="dxa"/>
          </w:tcPr>
          <w:p w14:paraId="166F881E" w14:textId="77777777" w:rsidR="00412269" w:rsidRPr="004A62CC" w:rsidRDefault="00412269" w:rsidP="00B540A2">
            <w:pPr>
              <w:rPr>
                <w:sz w:val="18"/>
              </w:rPr>
            </w:pPr>
            <w:r w:rsidRPr="004A62CC">
              <w:rPr>
                <w:sz w:val="18"/>
              </w:rPr>
              <w:t>CRC</w:t>
            </w:r>
          </w:p>
        </w:tc>
        <w:tc>
          <w:tcPr>
            <w:tcW w:w="1843" w:type="dxa"/>
          </w:tcPr>
          <w:p w14:paraId="4FC59880" w14:textId="77777777" w:rsidR="00412269" w:rsidRPr="004A62CC" w:rsidRDefault="00412269" w:rsidP="00B540A2">
            <w:pPr>
              <w:rPr>
                <w:sz w:val="18"/>
              </w:rPr>
            </w:pPr>
            <w:r w:rsidRPr="004A62CC">
              <w:rPr>
                <w:sz w:val="18"/>
              </w:rPr>
              <w:t>24</w:t>
            </w:r>
          </w:p>
        </w:tc>
      </w:tr>
      <w:tr w:rsidR="00412269" w14:paraId="180EEEDA" w14:textId="77777777" w:rsidTr="00491A48">
        <w:trPr>
          <w:trHeight w:val="63"/>
          <w:jc w:val="center"/>
        </w:trPr>
        <w:tc>
          <w:tcPr>
            <w:tcW w:w="6232" w:type="dxa"/>
          </w:tcPr>
          <w:p w14:paraId="23B34AFC" w14:textId="77777777" w:rsidR="00412269" w:rsidRPr="004A62CC" w:rsidRDefault="00412269" w:rsidP="00B540A2">
            <w:pPr>
              <w:rPr>
                <w:sz w:val="18"/>
              </w:rPr>
            </w:pPr>
          </w:p>
        </w:tc>
        <w:tc>
          <w:tcPr>
            <w:tcW w:w="1843" w:type="dxa"/>
          </w:tcPr>
          <w:p w14:paraId="30506A68" w14:textId="3226F613" w:rsidR="00412269" w:rsidRPr="004A62CC" w:rsidRDefault="00412269" w:rsidP="00663029">
            <w:pPr>
              <w:rPr>
                <w:sz w:val="18"/>
              </w:rPr>
            </w:pPr>
            <w:r w:rsidRPr="004A62CC">
              <w:rPr>
                <w:sz w:val="18"/>
              </w:rPr>
              <w:t>Total bits:  8</w:t>
            </w:r>
            <w:r w:rsidR="00663029" w:rsidRPr="004A62CC">
              <w:rPr>
                <w:sz w:val="18"/>
              </w:rPr>
              <w:t>1</w:t>
            </w:r>
          </w:p>
        </w:tc>
      </w:tr>
    </w:tbl>
    <w:p w14:paraId="03B53155" w14:textId="77777777" w:rsidR="007F0F24" w:rsidRPr="007F0F24" w:rsidRDefault="007F0F24" w:rsidP="00D278DB">
      <w:pPr>
        <w:pStyle w:val="Reference"/>
        <w:numPr>
          <w:ilvl w:val="0"/>
          <w:numId w:val="0"/>
        </w:numPr>
        <w:rPr>
          <w:noProof/>
          <w:sz w:val="18"/>
        </w:rPr>
      </w:pPr>
    </w:p>
    <w:sectPr w:rsidR="007F0F24" w:rsidRPr="007F0F24"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27769" w14:textId="77777777" w:rsidR="00B557F3" w:rsidRDefault="00B557F3">
      <w:r>
        <w:separator/>
      </w:r>
    </w:p>
  </w:endnote>
  <w:endnote w:type="continuationSeparator" w:id="0">
    <w:p w14:paraId="4EF7ABF1" w14:textId="77777777" w:rsidR="00B557F3" w:rsidRDefault="00B5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381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381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C3BC4" w14:textId="77777777" w:rsidR="00B557F3" w:rsidRDefault="00B557F3">
      <w:r>
        <w:separator/>
      </w:r>
    </w:p>
  </w:footnote>
  <w:footnote w:type="continuationSeparator" w:id="0">
    <w:p w14:paraId="5F8E83DC" w14:textId="77777777" w:rsidR="00B557F3" w:rsidRDefault="00B5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0EA4049"/>
    <w:multiLevelType w:val="hybridMultilevel"/>
    <w:tmpl w:val="138E8394"/>
    <w:lvl w:ilvl="0" w:tplc="DD24680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A8C4AE7"/>
    <w:multiLevelType w:val="hybridMultilevel"/>
    <w:tmpl w:val="9DC298F4"/>
    <w:lvl w:ilvl="0" w:tplc="29E20FA2">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2F22F5"/>
    <w:multiLevelType w:val="hybridMultilevel"/>
    <w:tmpl w:val="822EA56C"/>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213CED"/>
    <w:multiLevelType w:val="hybridMultilevel"/>
    <w:tmpl w:val="867A9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232AD9"/>
    <w:multiLevelType w:val="hybridMultilevel"/>
    <w:tmpl w:val="117C3BC0"/>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4A07CE"/>
    <w:multiLevelType w:val="hybridMultilevel"/>
    <w:tmpl w:val="548C067E"/>
    <w:lvl w:ilvl="0" w:tplc="56EC1898">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006147"/>
    <w:multiLevelType w:val="hybridMultilevel"/>
    <w:tmpl w:val="774C3BE8"/>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972A6"/>
    <w:multiLevelType w:val="hybridMultilevel"/>
    <w:tmpl w:val="3A28A15E"/>
    <w:lvl w:ilvl="0" w:tplc="9424923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6946196"/>
    <w:multiLevelType w:val="hybridMultilevel"/>
    <w:tmpl w:val="FEA499C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F3780"/>
    <w:multiLevelType w:val="hybridMultilevel"/>
    <w:tmpl w:val="DC6E1AA2"/>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767021A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24"/>
  </w:num>
  <w:num w:numId="3">
    <w:abstractNumId w:val="25"/>
  </w:num>
  <w:num w:numId="4">
    <w:abstractNumId w:val="19"/>
  </w:num>
  <w:num w:numId="5">
    <w:abstractNumId w:val="34"/>
  </w:num>
  <w:num w:numId="6">
    <w:abstractNumId w:val="20"/>
  </w:num>
  <w:num w:numId="7">
    <w:abstractNumId w:val="32"/>
  </w:num>
  <w:num w:numId="8">
    <w:abstractNumId w:val="18"/>
  </w:num>
  <w:num w:numId="9">
    <w:abstractNumId w:val="39"/>
  </w:num>
  <w:num w:numId="10">
    <w:abstractNumId w:val="29"/>
  </w:num>
  <w:num w:numId="11">
    <w:abstractNumId w:val="23"/>
  </w:num>
  <w:num w:numId="12">
    <w:abstractNumId w:val="37"/>
  </w:num>
  <w:num w:numId="13">
    <w:abstractNumId w:val="15"/>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3"/>
  </w:num>
  <w:num w:numId="20">
    <w:abstractNumId w:val="22"/>
  </w:num>
  <w:num w:numId="21">
    <w:abstractNumId w:val="6"/>
  </w:num>
  <w:num w:numId="22">
    <w:abstractNumId w:val="42"/>
  </w:num>
  <w:num w:numId="23">
    <w:abstractNumId w:val="41"/>
  </w:num>
  <w:num w:numId="24">
    <w:abstractNumId w:val="9"/>
  </w:num>
  <w:num w:numId="25">
    <w:abstractNumId w:val="28"/>
  </w:num>
  <w:num w:numId="26">
    <w:abstractNumId w:val="33"/>
  </w:num>
  <w:num w:numId="27">
    <w:abstractNumId w:val="36"/>
  </w:num>
  <w:num w:numId="28">
    <w:abstractNumId w:val="4"/>
  </w:num>
  <w:num w:numId="29">
    <w:abstractNumId w:val="12"/>
  </w:num>
  <w:num w:numId="30">
    <w:abstractNumId w:val="38"/>
  </w:num>
  <w:num w:numId="31">
    <w:abstractNumId w:val="17"/>
  </w:num>
  <w:num w:numId="32">
    <w:abstractNumId w:val="5"/>
  </w:num>
  <w:num w:numId="33">
    <w:abstractNumId w:val="35"/>
  </w:num>
  <w:num w:numId="34">
    <w:abstractNumId w:val="16"/>
  </w:num>
  <w:num w:numId="35">
    <w:abstractNumId w:val="30"/>
  </w:num>
  <w:num w:numId="36">
    <w:abstractNumId w:val="11"/>
  </w:num>
  <w:num w:numId="37">
    <w:abstractNumId w:val="8"/>
  </w:num>
  <w:num w:numId="38">
    <w:abstractNumId w:val="21"/>
  </w:num>
  <w:num w:numId="39">
    <w:abstractNumId w:val="14"/>
  </w:num>
  <w:num w:numId="40">
    <w:abstractNumId w:val="23"/>
  </w:num>
  <w:num w:numId="41">
    <w:abstractNumId w:val="23"/>
  </w:num>
  <w:num w:numId="42">
    <w:abstractNumId w:val="27"/>
  </w:num>
  <w:num w:numId="43">
    <w:abstractNumId w:val="23"/>
  </w:num>
  <w:num w:numId="44">
    <w:abstractNumId w:val="23"/>
  </w:num>
  <w:num w:numId="45">
    <w:abstractNumId w:val="10"/>
  </w:num>
  <w:num w:numId="46">
    <w:abstractNumId w:val="3"/>
  </w:num>
  <w:num w:numId="47">
    <w:abstractNumId w:val="26"/>
  </w:num>
  <w:num w:numId="48">
    <w:abstractNumId w:val="13"/>
  </w:num>
  <w:num w:numId="49">
    <w:abstractNumId w:val="23"/>
    <w:lvlOverride w:ilvl="0">
      <w:startOverride w:val="1"/>
    </w:lvlOverride>
  </w:num>
  <w:num w:numId="50">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5D44"/>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589E"/>
    <w:rsid w:val="0009682B"/>
    <w:rsid w:val="00097264"/>
    <w:rsid w:val="000A1B7B"/>
    <w:rsid w:val="000A1F45"/>
    <w:rsid w:val="000A33E1"/>
    <w:rsid w:val="000A3A66"/>
    <w:rsid w:val="000A41FD"/>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1948"/>
    <w:rsid w:val="000F2345"/>
    <w:rsid w:val="000F2638"/>
    <w:rsid w:val="000F26A3"/>
    <w:rsid w:val="000F3324"/>
    <w:rsid w:val="000F3663"/>
    <w:rsid w:val="000F3BE9"/>
    <w:rsid w:val="000F3F6C"/>
    <w:rsid w:val="000F40DF"/>
    <w:rsid w:val="000F47EF"/>
    <w:rsid w:val="000F4B18"/>
    <w:rsid w:val="000F5702"/>
    <w:rsid w:val="000F6942"/>
    <w:rsid w:val="000F6DF3"/>
    <w:rsid w:val="000F6F29"/>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5C8C"/>
    <w:rsid w:val="00126B4A"/>
    <w:rsid w:val="001300BC"/>
    <w:rsid w:val="00131E3E"/>
    <w:rsid w:val="00132B13"/>
    <w:rsid w:val="00132FD0"/>
    <w:rsid w:val="001344C0"/>
    <w:rsid w:val="0013452C"/>
    <w:rsid w:val="001346FA"/>
    <w:rsid w:val="001348AE"/>
    <w:rsid w:val="00134D78"/>
    <w:rsid w:val="00135252"/>
    <w:rsid w:val="00135672"/>
    <w:rsid w:val="00135A8E"/>
    <w:rsid w:val="00137520"/>
    <w:rsid w:val="00137A22"/>
    <w:rsid w:val="00137AB5"/>
    <w:rsid w:val="00137BAD"/>
    <w:rsid w:val="00137F0B"/>
    <w:rsid w:val="0014231A"/>
    <w:rsid w:val="00142584"/>
    <w:rsid w:val="0014274A"/>
    <w:rsid w:val="00143880"/>
    <w:rsid w:val="00143D6E"/>
    <w:rsid w:val="00144AA2"/>
    <w:rsid w:val="00144B73"/>
    <w:rsid w:val="00147AAA"/>
    <w:rsid w:val="00147ABD"/>
    <w:rsid w:val="00147F6D"/>
    <w:rsid w:val="001508A9"/>
    <w:rsid w:val="0015145F"/>
    <w:rsid w:val="00151836"/>
    <w:rsid w:val="00151E23"/>
    <w:rsid w:val="001526E0"/>
    <w:rsid w:val="0015282C"/>
    <w:rsid w:val="00152B02"/>
    <w:rsid w:val="00152FF8"/>
    <w:rsid w:val="0015440F"/>
    <w:rsid w:val="001551B5"/>
    <w:rsid w:val="00155FC3"/>
    <w:rsid w:val="0015625D"/>
    <w:rsid w:val="00156836"/>
    <w:rsid w:val="001568DE"/>
    <w:rsid w:val="00156A5A"/>
    <w:rsid w:val="00156CB1"/>
    <w:rsid w:val="00161E87"/>
    <w:rsid w:val="00163C56"/>
    <w:rsid w:val="00165107"/>
    <w:rsid w:val="00165972"/>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89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0A18"/>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3A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0FFD"/>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06DB"/>
    <w:rsid w:val="003115D5"/>
    <w:rsid w:val="00311702"/>
    <w:rsid w:val="00311E82"/>
    <w:rsid w:val="003133E0"/>
    <w:rsid w:val="00313406"/>
    <w:rsid w:val="00313FD6"/>
    <w:rsid w:val="003143BD"/>
    <w:rsid w:val="0031452F"/>
    <w:rsid w:val="00315BAB"/>
    <w:rsid w:val="00317F14"/>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2FB4"/>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4D4B"/>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4F49"/>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2F49"/>
    <w:rsid w:val="003B369F"/>
    <w:rsid w:val="003B36A3"/>
    <w:rsid w:val="003B48BC"/>
    <w:rsid w:val="003B4BFF"/>
    <w:rsid w:val="003B61C8"/>
    <w:rsid w:val="003B7A94"/>
    <w:rsid w:val="003B7FE5"/>
    <w:rsid w:val="003C04E3"/>
    <w:rsid w:val="003C0634"/>
    <w:rsid w:val="003C11C8"/>
    <w:rsid w:val="003C11E3"/>
    <w:rsid w:val="003C23DC"/>
    <w:rsid w:val="003C2702"/>
    <w:rsid w:val="003C3C96"/>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6A4"/>
    <w:rsid w:val="00405CA5"/>
    <w:rsid w:val="00405CF0"/>
    <w:rsid w:val="00405E41"/>
    <w:rsid w:val="0040650A"/>
    <w:rsid w:val="00406BE5"/>
    <w:rsid w:val="00407A84"/>
    <w:rsid w:val="00407CD3"/>
    <w:rsid w:val="00410134"/>
    <w:rsid w:val="004104CE"/>
    <w:rsid w:val="00410B72"/>
    <w:rsid w:val="00410F18"/>
    <w:rsid w:val="0041153C"/>
    <w:rsid w:val="004117A3"/>
    <w:rsid w:val="00412269"/>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864"/>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D71"/>
    <w:rsid w:val="00481F3B"/>
    <w:rsid w:val="004822AC"/>
    <w:rsid w:val="004835F7"/>
    <w:rsid w:val="00483BC8"/>
    <w:rsid w:val="00483C1A"/>
    <w:rsid w:val="0048631F"/>
    <w:rsid w:val="00487D1D"/>
    <w:rsid w:val="00487E33"/>
    <w:rsid w:val="00490646"/>
    <w:rsid w:val="00490C9F"/>
    <w:rsid w:val="00491A48"/>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62CC"/>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78D"/>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045"/>
    <w:rsid w:val="004D5A95"/>
    <w:rsid w:val="004D5AFD"/>
    <w:rsid w:val="004D7178"/>
    <w:rsid w:val="004D7514"/>
    <w:rsid w:val="004D77DF"/>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4F7D1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3F57"/>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354"/>
    <w:rsid w:val="005455A8"/>
    <w:rsid w:val="005465F9"/>
    <w:rsid w:val="00546970"/>
    <w:rsid w:val="00546A7B"/>
    <w:rsid w:val="00546E82"/>
    <w:rsid w:val="00550616"/>
    <w:rsid w:val="005507E5"/>
    <w:rsid w:val="00550E40"/>
    <w:rsid w:val="0055220B"/>
    <w:rsid w:val="0055243A"/>
    <w:rsid w:val="0055333A"/>
    <w:rsid w:val="005539AF"/>
    <w:rsid w:val="005545D3"/>
    <w:rsid w:val="00554E19"/>
    <w:rsid w:val="00557291"/>
    <w:rsid w:val="00560B12"/>
    <w:rsid w:val="00560E48"/>
    <w:rsid w:val="0056121F"/>
    <w:rsid w:val="005612ED"/>
    <w:rsid w:val="00562557"/>
    <w:rsid w:val="00562F8C"/>
    <w:rsid w:val="00563292"/>
    <w:rsid w:val="005642AB"/>
    <w:rsid w:val="005649CD"/>
    <w:rsid w:val="0056783E"/>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35AB"/>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6FF"/>
    <w:rsid w:val="005E385F"/>
    <w:rsid w:val="005E3A1B"/>
    <w:rsid w:val="005E3C66"/>
    <w:rsid w:val="005E4CBF"/>
    <w:rsid w:val="005E4DB9"/>
    <w:rsid w:val="005E5B81"/>
    <w:rsid w:val="005E644C"/>
    <w:rsid w:val="005F0D6B"/>
    <w:rsid w:val="005F1310"/>
    <w:rsid w:val="005F18A4"/>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2C4F"/>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029"/>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4C81"/>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02"/>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5EEC"/>
    <w:rsid w:val="006E615A"/>
    <w:rsid w:val="006E673D"/>
    <w:rsid w:val="006E6F31"/>
    <w:rsid w:val="006E7D3B"/>
    <w:rsid w:val="006F106E"/>
    <w:rsid w:val="006F1347"/>
    <w:rsid w:val="006F143F"/>
    <w:rsid w:val="006F1B70"/>
    <w:rsid w:val="006F2356"/>
    <w:rsid w:val="006F341D"/>
    <w:rsid w:val="006F3CDE"/>
    <w:rsid w:val="006F3ED0"/>
    <w:rsid w:val="006F58D4"/>
    <w:rsid w:val="006F7D2E"/>
    <w:rsid w:val="0070025C"/>
    <w:rsid w:val="00700334"/>
    <w:rsid w:val="007023E3"/>
    <w:rsid w:val="0070294A"/>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32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2843"/>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5BC"/>
    <w:rsid w:val="007B7BFA"/>
    <w:rsid w:val="007C05DD"/>
    <w:rsid w:val="007C20B8"/>
    <w:rsid w:val="007C287A"/>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008C"/>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24"/>
    <w:rsid w:val="007F0FD3"/>
    <w:rsid w:val="007F21E1"/>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070"/>
    <w:rsid w:val="00840A83"/>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1D9"/>
    <w:rsid w:val="00895386"/>
    <w:rsid w:val="00895D53"/>
    <w:rsid w:val="00896660"/>
    <w:rsid w:val="008970EE"/>
    <w:rsid w:val="008A06E7"/>
    <w:rsid w:val="008A06F1"/>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2F81"/>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11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DD4"/>
    <w:rsid w:val="008F1EAB"/>
    <w:rsid w:val="008F23F4"/>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6B1"/>
    <w:rsid w:val="00977FF0"/>
    <w:rsid w:val="00980061"/>
    <w:rsid w:val="00980477"/>
    <w:rsid w:val="00980A49"/>
    <w:rsid w:val="009816B8"/>
    <w:rsid w:val="00981F3C"/>
    <w:rsid w:val="009821E0"/>
    <w:rsid w:val="0098349E"/>
    <w:rsid w:val="00985253"/>
    <w:rsid w:val="009853B3"/>
    <w:rsid w:val="00985458"/>
    <w:rsid w:val="0098602A"/>
    <w:rsid w:val="00986055"/>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2A3"/>
    <w:rsid w:val="009E35DB"/>
    <w:rsid w:val="009E4239"/>
    <w:rsid w:val="009E445B"/>
    <w:rsid w:val="009E47A3"/>
    <w:rsid w:val="009E638B"/>
    <w:rsid w:val="009E67BF"/>
    <w:rsid w:val="009E74EA"/>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482"/>
    <w:rsid w:val="00A17F63"/>
    <w:rsid w:val="00A20CFE"/>
    <w:rsid w:val="00A20D5C"/>
    <w:rsid w:val="00A21149"/>
    <w:rsid w:val="00A2193B"/>
    <w:rsid w:val="00A220C0"/>
    <w:rsid w:val="00A2283F"/>
    <w:rsid w:val="00A2351A"/>
    <w:rsid w:val="00A23C0A"/>
    <w:rsid w:val="00A245F7"/>
    <w:rsid w:val="00A25361"/>
    <w:rsid w:val="00A264A9"/>
    <w:rsid w:val="00A269BC"/>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86B"/>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90"/>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344"/>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873"/>
    <w:rsid w:val="00AE1F88"/>
    <w:rsid w:val="00AE21C3"/>
    <w:rsid w:val="00AE27AC"/>
    <w:rsid w:val="00AE328D"/>
    <w:rsid w:val="00AE40E0"/>
    <w:rsid w:val="00AE45FD"/>
    <w:rsid w:val="00AE4832"/>
    <w:rsid w:val="00AE4DBA"/>
    <w:rsid w:val="00AE4EDC"/>
    <w:rsid w:val="00AE4F07"/>
    <w:rsid w:val="00AE50CF"/>
    <w:rsid w:val="00AE6F85"/>
    <w:rsid w:val="00AE705B"/>
    <w:rsid w:val="00AE738C"/>
    <w:rsid w:val="00AE7445"/>
    <w:rsid w:val="00AE7C25"/>
    <w:rsid w:val="00AF12BF"/>
    <w:rsid w:val="00AF1C5D"/>
    <w:rsid w:val="00AF36B2"/>
    <w:rsid w:val="00AF40A0"/>
    <w:rsid w:val="00AF42D7"/>
    <w:rsid w:val="00AF550A"/>
    <w:rsid w:val="00AF64DA"/>
    <w:rsid w:val="00AF7E36"/>
    <w:rsid w:val="00B006FE"/>
    <w:rsid w:val="00B007CB"/>
    <w:rsid w:val="00B00D93"/>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81E"/>
    <w:rsid w:val="00B23DE4"/>
    <w:rsid w:val="00B242D5"/>
    <w:rsid w:val="00B254E6"/>
    <w:rsid w:val="00B2576D"/>
    <w:rsid w:val="00B2701D"/>
    <w:rsid w:val="00B2752A"/>
    <w:rsid w:val="00B2763F"/>
    <w:rsid w:val="00B27AAC"/>
    <w:rsid w:val="00B27CB4"/>
    <w:rsid w:val="00B302FB"/>
    <w:rsid w:val="00B30929"/>
    <w:rsid w:val="00B30D4E"/>
    <w:rsid w:val="00B31921"/>
    <w:rsid w:val="00B319C5"/>
    <w:rsid w:val="00B3258B"/>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573"/>
    <w:rsid w:val="00B427ED"/>
    <w:rsid w:val="00B42A7D"/>
    <w:rsid w:val="00B43881"/>
    <w:rsid w:val="00B43D70"/>
    <w:rsid w:val="00B45A52"/>
    <w:rsid w:val="00B46175"/>
    <w:rsid w:val="00B46235"/>
    <w:rsid w:val="00B47004"/>
    <w:rsid w:val="00B52BE1"/>
    <w:rsid w:val="00B52D33"/>
    <w:rsid w:val="00B53893"/>
    <w:rsid w:val="00B54575"/>
    <w:rsid w:val="00B557F3"/>
    <w:rsid w:val="00B56164"/>
    <w:rsid w:val="00B563E2"/>
    <w:rsid w:val="00B564CD"/>
    <w:rsid w:val="00B56AA1"/>
    <w:rsid w:val="00B56E64"/>
    <w:rsid w:val="00B57D54"/>
    <w:rsid w:val="00B60370"/>
    <w:rsid w:val="00B604DE"/>
    <w:rsid w:val="00B6159E"/>
    <w:rsid w:val="00B64A35"/>
    <w:rsid w:val="00B65A18"/>
    <w:rsid w:val="00B664C7"/>
    <w:rsid w:val="00B66FD2"/>
    <w:rsid w:val="00B677B9"/>
    <w:rsid w:val="00B67930"/>
    <w:rsid w:val="00B725A6"/>
    <w:rsid w:val="00B72E7B"/>
    <w:rsid w:val="00B736C9"/>
    <w:rsid w:val="00B7396D"/>
    <w:rsid w:val="00B739F6"/>
    <w:rsid w:val="00B73EC4"/>
    <w:rsid w:val="00B748E2"/>
    <w:rsid w:val="00B74D33"/>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87A04"/>
    <w:rsid w:val="00B90676"/>
    <w:rsid w:val="00B90948"/>
    <w:rsid w:val="00B90F73"/>
    <w:rsid w:val="00B915F7"/>
    <w:rsid w:val="00B92DD9"/>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0AC3"/>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103"/>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064"/>
    <w:rsid w:val="00C767BE"/>
    <w:rsid w:val="00C76E3C"/>
    <w:rsid w:val="00C77441"/>
    <w:rsid w:val="00C80287"/>
    <w:rsid w:val="00C803E9"/>
    <w:rsid w:val="00C81407"/>
    <w:rsid w:val="00C81568"/>
    <w:rsid w:val="00C81905"/>
    <w:rsid w:val="00C8206F"/>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83A"/>
    <w:rsid w:val="00C95B40"/>
    <w:rsid w:val="00C95E1F"/>
    <w:rsid w:val="00C977E7"/>
    <w:rsid w:val="00C97FC3"/>
    <w:rsid w:val="00CA0100"/>
    <w:rsid w:val="00CA080C"/>
    <w:rsid w:val="00CA0A8A"/>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3E0"/>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EA0"/>
    <w:rsid w:val="00CC513B"/>
    <w:rsid w:val="00CC51E6"/>
    <w:rsid w:val="00CC5800"/>
    <w:rsid w:val="00CC5A9D"/>
    <w:rsid w:val="00CC67A4"/>
    <w:rsid w:val="00CC705E"/>
    <w:rsid w:val="00CC7B45"/>
    <w:rsid w:val="00CD0D54"/>
    <w:rsid w:val="00CD111B"/>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0D42"/>
    <w:rsid w:val="00CE1091"/>
    <w:rsid w:val="00CE1491"/>
    <w:rsid w:val="00CE1EFD"/>
    <w:rsid w:val="00CE4551"/>
    <w:rsid w:val="00CE5315"/>
    <w:rsid w:val="00CE537C"/>
    <w:rsid w:val="00CE57E7"/>
    <w:rsid w:val="00CE6BAD"/>
    <w:rsid w:val="00CE7561"/>
    <w:rsid w:val="00CF0AA1"/>
    <w:rsid w:val="00CF1354"/>
    <w:rsid w:val="00CF1744"/>
    <w:rsid w:val="00CF1A03"/>
    <w:rsid w:val="00CF36F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6A28"/>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5E5"/>
    <w:rsid w:val="00D259B2"/>
    <w:rsid w:val="00D25DE6"/>
    <w:rsid w:val="00D2610E"/>
    <w:rsid w:val="00D278DB"/>
    <w:rsid w:val="00D301F3"/>
    <w:rsid w:val="00D30372"/>
    <w:rsid w:val="00D30EF8"/>
    <w:rsid w:val="00D30F9D"/>
    <w:rsid w:val="00D3302C"/>
    <w:rsid w:val="00D34405"/>
    <w:rsid w:val="00D346CF"/>
    <w:rsid w:val="00D3517A"/>
    <w:rsid w:val="00D35F7E"/>
    <w:rsid w:val="00D36E71"/>
    <w:rsid w:val="00D3756E"/>
    <w:rsid w:val="00D37C2C"/>
    <w:rsid w:val="00D37D87"/>
    <w:rsid w:val="00D40B33"/>
    <w:rsid w:val="00D40DEA"/>
    <w:rsid w:val="00D41069"/>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AF5"/>
    <w:rsid w:val="00D621E4"/>
    <w:rsid w:val="00D6235F"/>
    <w:rsid w:val="00D652B5"/>
    <w:rsid w:val="00D66155"/>
    <w:rsid w:val="00D67CBB"/>
    <w:rsid w:val="00D70206"/>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68A"/>
    <w:rsid w:val="00DB480A"/>
    <w:rsid w:val="00DB759C"/>
    <w:rsid w:val="00DB7C7C"/>
    <w:rsid w:val="00DC0DD0"/>
    <w:rsid w:val="00DC0E3E"/>
    <w:rsid w:val="00DC2D36"/>
    <w:rsid w:val="00DC3983"/>
    <w:rsid w:val="00DC4682"/>
    <w:rsid w:val="00DC53EF"/>
    <w:rsid w:val="00DC61DC"/>
    <w:rsid w:val="00DC6CDC"/>
    <w:rsid w:val="00DC76B9"/>
    <w:rsid w:val="00DD04CC"/>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E79D2"/>
    <w:rsid w:val="00DF03FA"/>
    <w:rsid w:val="00DF0B6E"/>
    <w:rsid w:val="00DF15E0"/>
    <w:rsid w:val="00DF2024"/>
    <w:rsid w:val="00DF24B5"/>
    <w:rsid w:val="00DF37A0"/>
    <w:rsid w:val="00DF3B14"/>
    <w:rsid w:val="00DF40BA"/>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524"/>
    <w:rsid w:val="00E23C32"/>
    <w:rsid w:val="00E23E11"/>
    <w:rsid w:val="00E23FF0"/>
    <w:rsid w:val="00E243E4"/>
    <w:rsid w:val="00E27FC5"/>
    <w:rsid w:val="00E306BC"/>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2F53"/>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BBF"/>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0F97"/>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242"/>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635"/>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4763"/>
    <w:rsid w:val="00FC6625"/>
    <w:rsid w:val="00FC6F7F"/>
    <w:rsid w:val="00FC7109"/>
    <w:rsid w:val="00FC7137"/>
    <w:rsid w:val="00FC7429"/>
    <w:rsid w:val="00FC78C4"/>
    <w:rsid w:val="00FD07F6"/>
    <w:rsid w:val="00FD1459"/>
    <w:rsid w:val="00FD157A"/>
    <w:rsid w:val="00FD1EC8"/>
    <w:rsid w:val="00FD20BB"/>
    <w:rsid w:val="00FD24EB"/>
    <w:rsid w:val="00FD2989"/>
    <w:rsid w:val="00FD346C"/>
    <w:rsid w:val="00FD47ED"/>
    <w:rsid w:val="00FD49A8"/>
    <w:rsid w:val="00FD53E2"/>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aliases w:val="cap,Caption Char,Caption Char1 Char,cap Char Char1,Caption Char Char1 Char,cap Char2,条目,cap Char Char Char Char Char Char Char,Caption Char2,Caption Char Char Char,Caption Char Char1,fig and tbl,fighead2,fighead21,cap1,Ca,Caption Char C...,cap2"/>
    <w:basedOn w:val="Normal"/>
    <w:next w:val="Normal"/>
    <w:link w:val="CaptionChar1"/>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qFormat/>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rsid w:val="00412269"/>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2DFC4-556B-4A68-ABCF-76CF4B52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4</cp:revision>
  <cp:lastPrinted>2017-06-27T15:02:00Z</cp:lastPrinted>
  <dcterms:created xsi:type="dcterms:W3CDTF">2019-12-02T16:58:00Z</dcterms:created>
  <dcterms:modified xsi:type="dcterms:W3CDTF">2019-12-02T17:08:00Z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(3)p3Tgku9Nw7QBhGInYJnSFl9F7+DG7oQ4/vv/N5WnUOJ+mP6ZLBIthXS8/8XuL6EDO2PLl73n
n1ux4EmKv8CTQlX8+oWOrPTWR8euDRNldsQAFpum4ZVUndazx7KzuYe5KbMK5fAkEWnOj85f
krWsB/93cP1IQp7xBPEkD7jAt2JF2xtD1kB3uUPMop83ojOrcib/w+LYSQ860uMp7jguukPj
QzoCjv60c9gV08oR1+</vt:lpwstr>
  </property>
  <property fmtid="{D5CDD505-2E9C-101B-9397-08002B2CF9AE}" pid="10" name="_2015_ms_pID_725343_00">
    <vt:lpwstr>_2015_ms_pID_725343</vt:lpwstr>
  </property>
  <property fmtid="{D5CDD505-2E9C-101B-9397-08002B2CF9AE}" pid="11" name="_2015_ms_pID_7253431">
    <vt:lpwstr>WHmg2hEDgf0ghoH6H+C+6KQLAEfNQEolMlx0iD0Ug9z2WbHAMlFuBH
8CwgDaCO4B9tuTcl3AolaD7aAbNeEQtvnNQ2dLA7Nos0AyTMWft376FOTvTg1joQCfdlaosJ
m42algVvZ9hDsOZJiq6jNDKHxwuFDVEBc2ZU9jFduWpmPlGp6J4E9fjuJzTBvgBTYVXrMrg9
VaVa2pI0XeTQWyI855zC4F1mmokaZxJChyU4</vt:lpwstr>
  </property>
  <property fmtid="{D5CDD505-2E9C-101B-9397-08002B2CF9AE}" pid="12" name="_2015_ms_pID_7253431_00">
    <vt:lpwstr>_2015_ms_pID_7253431</vt:lpwstr>
  </property>
  <property fmtid="{D5CDD505-2E9C-101B-9397-08002B2CF9AE}" pid="13" name="_2015_ms_pID_7253432">
    <vt:lpwstr>ZrvtWeD7TnTxKKnSM385/aLSCX/E877TryZQ
ac6ZPmb7aAPF4nHS5BdUqMp6yQGE+gqIKz5kmlhIzqScdMRGhfE=</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1575306474</vt:lpwstr>
  </property>
</Properties>
</file>